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F5" w:rsidRDefault="00D55CBB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CKD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43201">
        <w:rPr>
          <w:rFonts w:ascii="Arial" w:hAnsi="Arial" w:cs="Arial"/>
          <w:b/>
          <w:sz w:val="20"/>
          <w:szCs w:val="20"/>
        </w:rPr>
        <w:t>A</w:t>
      </w:r>
      <w:r w:rsidR="00E43201" w:rsidRPr="00E43201">
        <w:rPr>
          <w:rFonts w:ascii="Arial" w:hAnsi="Arial" w:cs="Arial"/>
          <w:b/>
          <w:sz w:val="20"/>
          <w:szCs w:val="20"/>
        </w:rPr>
        <w:t>nnual General Mandate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A14EC9">
        <w:rPr>
          <w:rFonts w:ascii="Arial" w:hAnsi="Arial" w:cs="Arial"/>
          <w:sz w:val="20"/>
          <w:szCs w:val="20"/>
        </w:rPr>
        <w:t>30</w:t>
      </w:r>
      <w:r w:rsidR="00F301A8">
        <w:rPr>
          <w:rFonts w:ascii="Arial" w:hAnsi="Arial" w:cs="Arial"/>
          <w:sz w:val="20"/>
          <w:szCs w:val="20"/>
        </w:rPr>
        <w:t xml:space="preserve"> </w:t>
      </w:r>
      <w:r w:rsidR="00985126">
        <w:rPr>
          <w:rFonts w:ascii="Arial" w:hAnsi="Arial" w:cs="Arial"/>
          <w:sz w:val="20"/>
          <w:szCs w:val="20"/>
        </w:rPr>
        <w:t>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D55CBB" w:rsidRPr="00D55CBB">
        <w:rPr>
          <w:rFonts w:ascii="Arial" w:hAnsi="Arial" w:cs="Arial"/>
          <w:sz w:val="20"/>
          <w:szCs w:val="20"/>
        </w:rPr>
        <w:t>Dong Anh Mechanical JSC</w:t>
      </w:r>
      <w:r w:rsidR="00D55CBB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3F38AB">
        <w:rPr>
          <w:rFonts w:ascii="Arial" w:hAnsi="Arial" w:cs="Arial"/>
          <w:sz w:val="20"/>
          <w:szCs w:val="20"/>
        </w:rPr>
        <w:t>annual General Mandate 2020</w:t>
      </w:r>
      <w:r w:rsidR="00F301A8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D55CBB" w:rsidRDefault="00D55CBB" w:rsidP="00D55CB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D55C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Approve</w:t>
      </w:r>
      <w:r w:rsidRPr="00D55CBB">
        <w:rPr>
          <w:rFonts w:ascii="Arial" w:hAnsi="Arial" w:cs="Arial"/>
          <w:sz w:val="20"/>
          <w:szCs w:val="20"/>
        </w:rPr>
        <w:t xml:space="preserve"> the reports: Reports of the Board of Directors; Report of the General Director; </w:t>
      </w:r>
      <w:r>
        <w:rPr>
          <w:rFonts w:ascii="Arial" w:hAnsi="Arial" w:cs="Arial"/>
          <w:sz w:val="20"/>
          <w:szCs w:val="20"/>
        </w:rPr>
        <w:t xml:space="preserve">Audited financial statement of 2019; </w:t>
      </w:r>
      <w:r w:rsidRPr="00D55CBB">
        <w:rPr>
          <w:rFonts w:ascii="Arial" w:hAnsi="Arial" w:cs="Arial"/>
          <w:sz w:val="20"/>
          <w:szCs w:val="20"/>
        </w:rPr>
        <w:t xml:space="preserve">Report of the Supervisory Board at the Annual General Meeting of Shareholders </w:t>
      </w:r>
      <w:r>
        <w:rPr>
          <w:rFonts w:ascii="Arial" w:hAnsi="Arial" w:cs="Arial"/>
          <w:sz w:val="20"/>
          <w:szCs w:val="20"/>
        </w:rPr>
        <w:t>in 2020</w:t>
      </w:r>
    </w:p>
    <w:p w:rsidR="00D55CBB" w:rsidRDefault="00D55CBB" w:rsidP="00D55CB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Pr="00D55C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Approve</w:t>
      </w:r>
      <w:r w:rsidRPr="00D55CBB">
        <w:rPr>
          <w:rFonts w:ascii="Arial" w:hAnsi="Arial" w:cs="Arial"/>
          <w:sz w:val="20"/>
          <w:szCs w:val="20"/>
        </w:rPr>
        <w:t xml:space="preserve"> the results of production and business activities in 2019 with the following main </w:t>
      </w:r>
      <w:r>
        <w:rPr>
          <w:rFonts w:ascii="Arial" w:hAnsi="Arial" w:cs="Arial"/>
          <w:sz w:val="20"/>
          <w:szCs w:val="20"/>
        </w:rPr>
        <w:t>indicators</w:t>
      </w:r>
      <w:r w:rsidRPr="00D55CBB">
        <w:rPr>
          <w:rFonts w:ascii="Arial" w:hAnsi="Arial" w:cs="Arial"/>
          <w:sz w:val="20"/>
          <w:szCs w:val="20"/>
        </w:rPr>
        <w:t xml:space="preserve">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"/>
        <w:gridCol w:w="2722"/>
        <w:gridCol w:w="1595"/>
        <w:gridCol w:w="1595"/>
        <w:gridCol w:w="1596"/>
        <w:gridCol w:w="1596"/>
      </w:tblGrid>
      <w:tr w:rsidR="00D55CBB" w:rsidTr="00D55CBB">
        <w:tc>
          <w:tcPr>
            <w:tcW w:w="472" w:type="dxa"/>
          </w:tcPr>
          <w:p w:rsidR="00D55CBB" w:rsidRDefault="00D55CBB" w:rsidP="00D55C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722" w:type="dxa"/>
          </w:tcPr>
          <w:p w:rsidR="00D55CBB" w:rsidRDefault="00D55CBB" w:rsidP="00D55C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Indicators</w:t>
            </w:r>
          </w:p>
        </w:tc>
        <w:tc>
          <w:tcPr>
            <w:tcW w:w="1595" w:type="dxa"/>
          </w:tcPr>
          <w:p w:rsidR="00D55CBB" w:rsidRDefault="00D55CBB" w:rsidP="00D55C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1595" w:type="dxa"/>
          </w:tcPr>
          <w:p w:rsidR="00D55CBB" w:rsidRDefault="00D55CBB" w:rsidP="00D55C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2019</w:t>
            </w:r>
          </w:p>
        </w:tc>
        <w:tc>
          <w:tcPr>
            <w:tcW w:w="1596" w:type="dxa"/>
          </w:tcPr>
          <w:p w:rsidR="00D55CBB" w:rsidRDefault="00D55CBB" w:rsidP="00D55C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 2019</w:t>
            </w:r>
          </w:p>
        </w:tc>
        <w:tc>
          <w:tcPr>
            <w:tcW w:w="1596" w:type="dxa"/>
          </w:tcPr>
          <w:p w:rsidR="00D55CBB" w:rsidRDefault="00D55CBB" w:rsidP="00D55C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 2019/ Plan 2019</w:t>
            </w:r>
          </w:p>
        </w:tc>
      </w:tr>
      <w:tr w:rsidR="00D55CBB" w:rsidTr="00D55CBB">
        <w:tc>
          <w:tcPr>
            <w:tcW w:w="472" w:type="dxa"/>
          </w:tcPr>
          <w:p w:rsidR="00D55CBB" w:rsidRDefault="00D55CBB" w:rsidP="00D55C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22" w:type="dxa"/>
          </w:tcPr>
          <w:p w:rsidR="00D55CBB" w:rsidRDefault="00D55CBB" w:rsidP="00D55C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revenue</w:t>
            </w:r>
          </w:p>
        </w:tc>
        <w:tc>
          <w:tcPr>
            <w:tcW w:w="1595" w:type="dxa"/>
          </w:tcPr>
          <w:p w:rsidR="00D55CBB" w:rsidRDefault="00D55CBB" w:rsidP="00D55C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billion</w:t>
            </w:r>
          </w:p>
        </w:tc>
        <w:tc>
          <w:tcPr>
            <w:tcW w:w="1595" w:type="dxa"/>
          </w:tcPr>
          <w:p w:rsidR="00D55CBB" w:rsidRDefault="00D55CBB" w:rsidP="00D55C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1,347.80</w:t>
            </w:r>
          </w:p>
        </w:tc>
        <w:tc>
          <w:tcPr>
            <w:tcW w:w="1596" w:type="dxa"/>
          </w:tcPr>
          <w:p w:rsidR="00D55CBB" w:rsidRDefault="00D55CBB" w:rsidP="00D55C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1,183.22</w:t>
            </w:r>
          </w:p>
        </w:tc>
        <w:tc>
          <w:tcPr>
            <w:tcW w:w="1596" w:type="dxa"/>
          </w:tcPr>
          <w:p w:rsidR="00D55CBB" w:rsidRDefault="00D55CBB" w:rsidP="00D55C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88%</w:t>
            </w:r>
          </w:p>
        </w:tc>
      </w:tr>
      <w:tr w:rsidR="00D55CBB" w:rsidTr="00D55CBB">
        <w:tc>
          <w:tcPr>
            <w:tcW w:w="472" w:type="dxa"/>
          </w:tcPr>
          <w:p w:rsidR="00D55CBB" w:rsidRDefault="00D55CBB" w:rsidP="00D55C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:rsidR="00D55CBB" w:rsidRDefault="00D55CBB" w:rsidP="00D55C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revenue from sale</w:t>
            </w:r>
            <w:r w:rsidRPr="00D55CBB">
              <w:rPr>
                <w:rFonts w:ascii="Arial" w:hAnsi="Arial" w:cs="Arial"/>
                <w:sz w:val="20"/>
                <w:szCs w:val="20"/>
              </w:rPr>
              <w:t xml:space="preserve"> of goods and services</w:t>
            </w:r>
          </w:p>
        </w:tc>
        <w:tc>
          <w:tcPr>
            <w:tcW w:w="1595" w:type="dxa"/>
          </w:tcPr>
          <w:p w:rsidR="00D55CBB" w:rsidRDefault="00D55CBB" w:rsidP="00D55C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billion</w:t>
            </w:r>
          </w:p>
        </w:tc>
        <w:tc>
          <w:tcPr>
            <w:tcW w:w="1595" w:type="dxa"/>
          </w:tcPr>
          <w:p w:rsidR="00D55CBB" w:rsidRDefault="00D55CBB" w:rsidP="00D55C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CBB">
              <w:rPr>
                <w:rFonts w:ascii="Arial" w:hAnsi="Arial" w:cs="Arial"/>
                <w:sz w:val="20"/>
                <w:szCs w:val="20"/>
              </w:rPr>
              <w:t xml:space="preserve">1,279.32 </w:t>
            </w:r>
          </w:p>
        </w:tc>
        <w:tc>
          <w:tcPr>
            <w:tcW w:w="1596" w:type="dxa"/>
          </w:tcPr>
          <w:p w:rsidR="00D55CBB" w:rsidRDefault="00D55CBB" w:rsidP="00D55C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CBB">
              <w:rPr>
                <w:rFonts w:ascii="Arial" w:hAnsi="Arial" w:cs="Arial"/>
                <w:sz w:val="20"/>
                <w:szCs w:val="20"/>
              </w:rPr>
              <w:t>1,101.94</w:t>
            </w:r>
          </w:p>
        </w:tc>
        <w:tc>
          <w:tcPr>
            <w:tcW w:w="1596" w:type="dxa"/>
          </w:tcPr>
          <w:p w:rsidR="00D55CBB" w:rsidRDefault="00D55CBB" w:rsidP="00D55C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CBB">
              <w:rPr>
                <w:rFonts w:ascii="Arial" w:hAnsi="Arial" w:cs="Arial"/>
                <w:sz w:val="20"/>
                <w:szCs w:val="20"/>
              </w:rPr>
              <w:t>86%</w:t>
            </w:r>
          </w:p>
        </w:tc>
      </w:tr>
      <w:tr w:rsidR="00D55CBB" w:rsidTr="00D55CBB">
        <w:tc>
          <w:tcPr>
            <w:tcW w:w="472" w:type="dxa"/>
          </w:tcPr>
          <w:p w:rsidR="00D55CBB" w:rsidRDefault="00D55CBB" w:rsidP="00D55C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22" w:type="dxa"/>
          </w:tcPr>
          <w:p w:rsidR="00D55CBB" w:rsidRDefault="00D55CBB" w:rsidP="00D55C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After-tax profit </w:t>
            </w:r>
          </w:p>
        </w:tc>
        <w:tc>
          <w:tcPr>
            <w:tcW w:w="1595" w:type="dxa"/>
          </w:tcPr>
          <w:p w:rsidR="00D55CBB" w:rsidRDefault="00D55CBB" w:rsidP="00D55C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billion</w:t>
            </w:r>
          </w:p>
        </w:tc>
        <w:tc>
          <w:tcPr>
            <w:tcW w:w="1595" w:type="dxa"/>
          </w:tcPr>
          <w:p w:rsidR="00D55CBB" w:rsidRDefault="00D55CBB" w:rsidP="00D55C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CBB">
              <w:rPr>
                <w:rFonts w:ascii="Arial" w:hAnsi="Arial" w:cs="Arial"/>
                <w:sz w:val="20"/>
                <w:szCs w:val="20"/>
              </w:rPr>
              <w:t>82.18</w:t>
            </w:r>
          </w:p>
        </w:tc>
        <w:tc>
          <w:tcPr>
            <w:tcW w:w="1596" w:type="dxa"/>
          </w:tcPr>
          <w:p w:rsidR="00D55CBB" w:rsidRDefault="00D55CBB" w:rsidP="00D55C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CBB">
              <w:rPr>
                <w:rFonts w:ascii="Arial" w:hAnsi="Arial" w:cs="Arial"/>
                <w:sz w:val="20"/>
                <w:szCs w:val="20"/>
              </w:rPr>
              <w:t>58.26</w:t>
            </w:r>
          </w:p>
        </w:tc>
        <w:tc>
          <w:tcPr>
            <w:tcW w:w="1596" w:type="dxa"/>
          </w:tcPr>
          <w:p w:rsidR="00D55CBB" w:rsidRDefault="00D55CBB" w:rsidP="00D55C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CBB">
              <w:rPr>
                <w:rFonts w:ascii="Arial" w:hAnsi="Arial" w:cs="Arial"/>
                <w:sz w:val="20"/>
                <w:szCs w:val="20"/>
              </w:rPr>
              <w:t>71%</w:t>
            </w:r>
          </w:p>
        </w:tc>
      </w:tr>
      <w:tr w:rsidR="00D55CBB" w:rsidTr="00D55CBB">
        <w:tc>
          <w:tcPr>
            <w:tcW w:w="472" w:type="dxa"/>
          </w:tcPr>
          <w:p w:rsidR="00D55CBB" w:rsidRDefault="00D55CBB" w:rsidP="00D55C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22" w:type="dxa"/>
          </w:tcPr>
          <w:p w:rsidR="00D55CBB" w:rsidRDefault="00D55CBB" w:rsidP="00D55C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Dividend payment </w:t>
            </w:r>
          </w:p>
        </w:tc>
        <w:tc>
          <w:tcPr>
            <w:tcW w:w="1595" w:type="dxa"/>
          </w:tcPr>
          <w:p w:rsidR="00D55CBB" w:rsidRDefault="00D55CBB" w:rsidP="00D55C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%/share</w:t>
            </w:r>
          </w:p>
        </w:tc>
        <w:tc>
          <w:tcPr>
            <w:tcW w:w="1595" w:type="dxa"/>
          </w:tcPr>
          <w:p w:rsidR="00D55CBB" w:rsidRDefault="00D55CBB" w:rsidP="00D55C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CB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96" w:type="dxa"/>
          </w:tcPr>
          <w:p w:rsidR="00D55CBB" w:rsidRDefault="00D55CBB" w:rsidP="00D55C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CB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96" w:type="dxa"/>
          </w:tcPr>
          <w:p w:rsidR="00D55CBB" w:rsidRDefault="00D55CBB" w:rsidP="00D55C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CBB">
              <w:rPr>
                <w:rFonts w:ascii="Arial" w:hAnsi="Arial" w:cs="Arial"/>
                <w:sz w:val="20"/>
                <w:szCs w:val="20"/>
              </w:rPr>
              <w:t>113%</w:t>
            </w:r>
          </w:p>
        </w:tc>
      </w:tr>
      <w:tr w:rsidR="00D55CBB" w:rsidTr="00D55CBB">
        <w:tc>
          <w:tcPr>
            <w:tcW w:w="472" w:type="dxa"/>
          </w:tcPr>
          <w:p w:rsidR="00D55CBB" w:rsidRDefault="00D55CBB" w:rsidP="00D55C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22" w:type="dxa"/>
          </w:tcPr>
          <w:p w:rsidR="00D55CBB" w:rsidRDefault="00D55CBB" w:rsidP="00D55C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55CBB">
              <w:rPr>
                <w:rFonts w:ascii="Arial" w:hAnsi="Arial" w:cs="Arial"/>
                <w:sz w:val="20"/>
                <w:szCs w:val="20"/>
              </w:rPr>
              <w:t>onstruction, fixed assets</w:t>
            </w:r>
          </w:p>
        </w:tc>
        <w:tc>
          <w:tcPr>
            <w:tcW w:w="1595" w:type="dxa"/>
          </w:tcPr>
          <w:p w:rsidR="00D55CBB" w:rsidRDefault="00D55CBB" w:rsidP="00D55C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billion</w:t>
            </w:r>
          </w:p>
        </w:tc>
        <w:tc>
          <w:tcPr>
            <w:tcW w:w="1595" w:type="dxa"/>
          </w:tcPr>
          <w:p w:rsidR="00D55CBB" w:rsidRDefault="00D55CBB" w:rsidP="00D55C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CBB">
              <w:rPr>
                <w:rFonts w:ascii="Arial" w:hAnsi="Arial" w:cs="Arial"/>
                <w:sz w:val="20"/>
                <w:szCs w:val="20"/>
              </w:rPr>
              <w:t>131.12</w:t>
            </w:r>
          </w:p>
        </w:tc>
        <w:tc>
          <w:tcPr>
            <w:tcW w:w="1596" w:type="dxa"/>
          </w:tcPr>
          <w:p w:rsidR="00D55CBB" w:rsidRDefault="00D55CBB" w:rsidP="00D55C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CBB">
              <w:rPr>
                <w:rFonts w:ascii="Arial" w:hAnsi="Arial" w:cs="Arial"/>
                <w:sz w:val="20"/>
                <w:szCs w:val="20"/>
              </w:rPr>
              <w:t>9.12</w:t>
            </w:r>
          </w:p>
        </w:tc>
        <w:tc>
          <w:tcPr>
            <w:tcW w:w="1596" w:type="dxa"/>
          </w:tcPr>
          <w:p w:rsidR="00D55CBB" w:rsidRDefault="00D55CBB" w:rsidP="00D55C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CBB">
              <w:rPr>
                <w:rFonts w:ascii="Arial" w:hAnsi="Arial" w:cs="Arial"/>
                <w:sz w:val="20"/>
                <w:szCs w:val="20"/>
              </w:rPr>
              <w:t>7%</w:t>
            </w:r>
          </w:p>
        </w:tc>
      </w:tr>
      <w:tr w:rsidR="00D55CBB" w:rsidTr="00D55CBB">
        <w:tc>
          <w:tcPr>
            <w:tcW w:w="472" w:type="dxa"/>
          </w:tcPr>
          <w:p w:rsidR="00D55CBB" w:rsidRDefault="00D55CBB" w:rsidP="00D55C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22" w:type="dxa"/>
          </w:tcPr>
          <w:p w:rsidR="00D55CBB" w:rsidRDefault="00D55CBB" w:rsidP="00D55C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CBB">
              <w:rPr>
                <w:rFonts w:ascii="Arial" w:hAnsi="Arial" w:cs="Arial"/>
                <w:sz w:val="20"/>
                <w:szCs w:val="20"/>
              </w:rPr>
              <w:t>Total salary fund</w:t>
            </w:r>
          </w:p>
        </w:tc>
        <w:tc>
          <w:tcPr>
            <w:tcW w:w="1595" w:type="dxa"/>
          </w:tcPr>
          <w:p w:rsidR="00D55CBB" w:rsidRDefault="00D55CBB" w:rsidP="00D55C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billion</w:t>
            </w:r>
          </w:p>
        </w:tc>
        <w:tc>
          <w:tcPr>
            <w:tcW w:w="1595" w:type="dxa"/>
          </w:tcPr>
          <w:p w:rsidR="00D55CBB" w:rsidRDefault="00D55CBB" w:rsidP="00D55C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CBB">
              <w:rPr>
                <w:rFonts w:ascii="Arial" w:hAnsi="Arial" w:cs="Arial"/>
                <w:sz w:val="20"/>
                <w:szCs w:val="20"/>
              </w:rPr>
              <w:t>123.57</w:t>
            </w:r>
          </w:p>
        </w:tc>
        <w:tc>
          <w:tcPr>
            <w:tcW w:w="1596" w:type="dxa"/>
          </w:tcPr>
          <w:p w:rsidR="00D55CBB" w:rsidRDefault="00D55CBB" w:rsidP="00D55C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CBB">
              <w:rPr>
                <w:rFonts w:ascii="Arial" w:hAnsi="Arial" w:cs="Arial"/>
                <w:sz w:val="20"/>
                <w:szCs w:val="20"/>
              </w:rPr>
              <w:t>111.09</w:t>
            </w:r>
          </w:p>
        </w:tc>
        <w:tc>
          <w:tcPr>
            <w:tcW w:w="1596" w:type="dxa"/>
          </w:tcPr>
          <w:p w:rsidR="00D55CBB" w:rsidRDefault="00D55CBB" w:rsidP="00D55C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CBB">
              <w:rPr>
                <w:rFonts w:ascii="Arial" w:hAnsi="Arial" w:cs="Arial"/>
                <w:sz w:val="20"/>
                <w:szCs w:val="20"/>
              </w:rPr>
              <w:t>90%</w:t>
            </w:r>
          </w:p>
        </w:tc>
      </w:tr>
      <w:tr w:rsidR="00D55CBB" w:rsidTr="00D55CBB">
        <w:tc>
          <w:tcPr>
            <w:tcW w:w="472" w:type="dxa"/>
          </w:tcPr>
          <w:p w:rsidR="00D55CBB" w:rsidRDefault="00D55CBB" w:rsidP="00D55C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22" w:type="dxa"/>
          </w:tcPr>
          <w:p w:rsidR="00D55CBB" w:rsidRDefault="00D55CBB" w:rsidP="00D55C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55CBB">
              <w:rPr>
                <w:rFonts w:ascii="Arial" w:hAnsi="Arial" w:cs="Arial"/>
                <w:sz w:val="20"/>
                <w:szCs w:val="20"/>
              </w:rPr>
              <w:t>alary/revenue</w:t>
            </w:r>
          </w:p>
        </w:tc>
        <w:tc>
          <w:tcPr>
            <w:tcW w:w="1595" w:type="dxa"/>
          </w:tcPr>
          <w:p w:rsidR="00D55CBB" w:rsidRDefault="00D55CBB" w:rsidP="00D55C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595" w:type="dxa"/>
          </w:tcPr>
          <w:p w:rsidR="00D55CBB" w:rsidRDefault="00D55CBB" w:rsidP="00D55C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CBB">
              <w:rPr>
                <w:rFonts w:ascii="Arial" w:hAnsi="Arial" w:cs="Arial"/>
                <w:sz w:val="20"/>
                <w:szCs w:val="20"/>
              </w:rPr>
              <w:t>9.7</w:t>
            </w:r>
          </w:p>
        </w:tc>
        <w:tc>
          <w:tcPr>
            <w:tcW w:w="1596" w:type="dxa"/>
          </w:tcPr>
          <w:p w:rsidR="00D55CBB" w:rsidRDefault="00D55CBB" w:rsidP="00D55C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CBB">
              <w:rPr>
                <w:rFonts w:ascii="Arial" w:hAnsi="Arial" w:cs="Arial"/>
                <w:sz w:val="20"/>
                <w:szCs w:val="20"/>
              </w:rPr>
              <w:t>10.1</w:t>
            </w:r>
          </w:p>
        </w:tc>
        <w:tc>
          <w:tcPr>
            <w:tcW w:w="1596" w:type="dxa"/>
          </w:tcPr>
          <w:p w:rsidR="00D55CBB" w:rsidRDefault="00D55CBB" w:rsidP="00D55C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CBB">
              <w:rPr>
                <w:rFonts w:ascii="Arial" w:hAnsi="Arial" w:cs="Arial"/>
                <w:sz w:val="20"/>
                <w:szCs w:val="20"/>
              </w:rPr>
              <w:t>104%</w:t>
            </w:r>
          </w:p>
        </w:tc>
      </w:tr>
    </w:tbl>
    <w:p w:rsidR="00D55CBB" w:rsidRDefault="00D55CBB" w:rsidP="00D55CB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66EA5" w:rsidRDefault="00966EA5" w:rsidP="00D55CB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 Approve the profit distribution plan for 2019</w:t>
      </w:r>
    </w:p>
    <w:p w:rsidR="00966EA5" w:rsidRDefault="00D55CBB" w:rsidP="00D55CB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5CBB">
        <w:rPr>
          <w:rFonts w:ascii="Arial" w:hAnsi="Arial" w:cs="Arial"/>
          <w:sz w:val="20"/>
          <w:szCs w:val="20"/>
        </w:rPr>
        <w:t xml:space="preserve">1. Profit distribution plan </w:t>
      </w:r>
      <w:r w:rsidR="00966EA5">
        <w:rPr>
          <w:rFonts w:ascii="Arial" w:hAnsi="Arial" w:cs="Arial"/>
          <w:sz w:val="20"/>
          <w:szCs w:val="20"/>
        </w:rPr>
        <w:t xml:space="preserve">for </w:t>
      </w:r>
      <w:r w:rsidRPr="00D55CBB">
        <w:rPr>
          <w:rFonts w:ascii="Arial" w:hAnsi="Arial" w:cs="Arial"/>
          <w:sz w:val="20"/>
          <w:szCs w:val="20"/>
        </w:rPr>
        <w:t xml:space="preserve">2019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"/>
        <w:gridCol w:w="6197"/>
        <w:gridCol w:w="2718"/>
      </w:tblGrid>
      <w:tr w:rsidR="00966EA5" w:rsidTr="00966EA5">
        <w:tc>
          <w:tcPr>
            <w:tcW w:w="661" w:type="dxa"/>
          </w:tcPr>
          <w:p w:rsidR="00966EA5" w:rsidRDefault="00966EA5" w:rsidP="00D55C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197" w:type="dxa"/>
          </w:tcPr>
          <w:p w:rsidR="00966EA5" w:rsidRDefault="00966EA5" w:rsidP="00D55C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Indicators</w:t>
            </w:r>
          </w:p>
        </w:tc>
        <w:tc>
          <w:tcPr>
            <w:tcW w:w="2718" w:type="dxa"/>
          </w:tcPr>
          <w:p w:rsidR="00966EA5" w:rsidRDefault="00966EA5" w:rsidP="00D55C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Value (VND)</w:t>
            </w:r>
          </w:p>
        </w:tc>
      </w:tr>
      <w:tr w:rsidR="00966EA5" w:rsidTr="00966EA5">
        <w:tc>
          <w:tcPr>
            <w:tcW w:w="661" w:type="dxa"/>
          </w:tcPr>
          <w:p w:rsidR="00966EA5" w:rsidRDefault="00966EA5" w:rsidP="00D55C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6197" w:type="dxa"/>
          </w:tcPr>
          <w:p w:rsidR="00966EA5" w:rsidRDefault="00966EA5" w:rsidP="00D55C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revenue</w:t>
            </w:r>
          </w:p>
        </w:tc>
        <w:tc>
          <w:tcPr>
            <w:tcW w:w="2718" w:type="dxa"/>
          </w:tcPr>
          <w:p w:rsidR="00966EA5" w:rsidRDefault="00966EA5" w:rsidP="00D55C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CBB">
              <w:rPr>
                <w:rFonts w:ascii="Arial" w:hAnsi="Arial" w:cs="Arial"/>
                <w:sz w:val="20"/>
                <w:szCs w:val="20"/>
              </w:rPr>
              <w:t>1,183,221,105,780</w:t>
            </w:r>
          </w:p>
        </w:tc>
      </w:tr>
      <w:tr w:rsidR="00966EA5" w:rsidTr="00966EA5">
        <w:tc>
          <w:tcPr>
            <w:tcW w:w="661" w:type="dxa"/>
          </w:tcPr>
          <w:p w:rsidR="00966EA5" w:rsidRDefault="00966EA5" w:rsidP="00D55C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7" w:type="dxa"/>
          </w:tcPr>
          <w:p w:rsidR="00966EA5" w:rsidRDefault="00966EA5" w:rsidP="00D55C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55CBB">
              <w:rPr>
                <w:rFonts w:ascii="Arial" w:hAnsi="Arial" w:cs="Arial"/>
                <w:sz w:val="20"/>
                <w:szCs w:val="20"/>
              </w:rPr>
              <w:t>et revenue from operating activities</w:t>
            </w:r>
          </w:p>
        </w:tc>
        <w:tc>
          <w:tcPr>
            <w:tcW w:w="2718" w:type="dxa"/>
          </w:tcPr>
          <w:p w:rsidR="00966EA5" w:rsidRDefault="00966EA5" w:rsidP="00D55C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1,101,935,223,1</w:t>
            </w:r>
            <w:r w:rsidRPr="00D55CBB">
              <w:rPr>
                <w:rFonts w:ascii="Arial" w:hAnsi="Arial" w:cs="Arial"/>
                <w:sz w:val="20"/>
                <w:szCs w:val="20"/>
              </w:rPr>
              <w:t>77</w:t>
            </w:r>
          </w:p>
        </w:tc>
      </w:tr>
      <w:tr w:rsidR="00966EA5" w:rsidTr="00966EA5">
        <w:tc>
          <w:tcPr>
            <w:tcW w:w="661" w:type="dxa"/>
          </w:tcPr>
          <w:p w:rsidR="00966EA5" w:rsidRDefault="00966EA5" w:rsidP="00D55C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6197" w:type="dxa"/>
          </w:tcPr>
          <w:p w:rsidR="00966EA5" w:rsidRDefault="00966EA5" w:rsidP="00D55C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CBB">
              <w:rPr>
                <w:rFonts w:ascii="Arial" w:hAnsi="Arial" w:cs="Arial"/>
                <w:sz w:val="20"/>
                <w:szCs w:val="20"/>
              </w:rPr>
              <w:t>Total cost</w:t>
            </w:r>
          </w:p>
        </w:tc>
        <w:tc>
          <w:tcPr>
            <w:tcW w:w="2718" w:type="dxa"/>
          </w:tcPr>
          <w:p w:rsidR="00966EA5" w:rsidRDefault="00966EA5" w:rsidP="00D55C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1,124,964,318,</w:t>
            </w:r>
            <w:r w:rsidRPr="00D55CBB">
              <w:rPr>
                <w:rFonts w:ascii="Arial" w:hAnsi="Arial" w:cs="Arial"/>
                <w:sz w:val="20"/>
                <w:szCs w:val="20"/>
              </w:rPr>
              <w:t>403</w:t>
            </w:r>
          </w:p>
        </w:tc>
      </w:tr>
      <w:tr w:rsidR="00966EA5" w:rsidTr="00966EA5">
        <w:tc>
          <w:tcPr>
            <w:tcW w:w="661" w:type="dxa"/>
          </w:tcPr>
          <w:p w:rsidR="00966EA5" w:rsidRDefault="00966EA5" w:rsidP="00D55C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6197" w:type="dxa"/>
          </w:tcPr>
          <w:p w:rsidR="00966EA5" w:rsidRDefault="00966EA5" w:rsidP="00D55C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A5">
              <w:rPr>
                <w:rFonts w:ascii="Arial" w:hAnsi="Arial" w:cs="Arial"/>
                <w:sz w:val="20"/>
                <w:szCs w:val="20"/>
              </w:rPr>
              <w:t>Profit before tax</w:t>
            </w:r>
          </w:p>
        </w:tc>
        <w:tc>
          <w:tcPr>
            <w:tcW w:w="2718" w:type="dxa"/>
          </w:tcPr>
          <w:p w:rsidR="00966EA5" w:rsidRDefault="00966EA5" w:rsidP="00D55C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A5">
              <w:rPr>
                <w:rFonts w:ascii="Arial" w:hAnsi="Arial" w:cs="Arial"/>
                <w:sz w:val="20"/>
                <w:szCs w:val="20"/>
              </w:rPr>
              <w:t>58,256,787,377</w:t>
            </w:r>
          </w:p>
        </w:tc>
      </w:tr>
      <w:tr w:rsidR="00966EA5" w:rsidTr="00966EA5">
        <w:tc>
          <w:tcPr>
            <w:tcW w:w="661" w:type="dxa"/>
          </w:tcPr>
          <w:p w:rsidR="00966EA5" w:rsidRDefault="00966EA5" w:rsidP="00D55C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6197" w:type="dxa"/>
          </w:tcPr>
          <w:p w:rsidR="00966EA5" w:rsidRDefault="00966EA5" w:rsidP="00D55C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Corporate income tax </w:t>
            </w:r>
          </w:p>
        </w:tc>
        <w:tc>
          <w:tcPr>
            <w:tcW w:w="2718" w:type="dxa"/>
          </w:tcPr>
          <w:p w:rsidR="00966EA5" w:rsidRDefault="00966EA5" w:rsidP="00D55C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66EA5" w:rsidTr="00966EA5">
        <w:tc>
          <w:tcPr>
            <w:tcW w:w="661" w:type="dxa"/>
          </w:tcPr>
          <w:p w:rsidR="00966EA5" w:rsidRDefault="00966EA5" w:rsidP="00D55C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6197" w:type="dxa"/>
          </w:tcPr>
          <w:p w:rsidR="00966EA5" w:rsidRDefault="00966EA5" w:rsidP="00D55C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A5">
              <w:rPr>
                <w:rFonts w:ascii="Arial" w:hAnsi="Arial" w:cs="Arial"/>
                <w:sz w:val="20"/>
                <w:szCs w:val="20"/>
              </w:rPr>
              <w:t>Profit after tax</w:t>
            </w:r>
          </w:p>
        </w:tc>
        <w:tc>
          <w:tcPr>
            <w:tcW w:w="2718" w:type="dxa"/>
          </w:tcPr>
          <w:p w:rsidR="00966EA5" w:rsidRDefault="00966EA5" w:rsidP="00D55C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A5">
              <w:rPr>
                <w:rFonts w:ascii="Arial" w:hAnsi="Arial" w:cs="Arial"/>
                <w:sz w:val="20"/>
                <w:szCs w:val="20"/>
              </w:rPr>
              <w:t>58,256,787,377</w:t>
            </w:r>
          </w:p>
        </w:tc>
      </w:tr>
      <w:tr w:rsidR="00966EA5" w:rsidTr="00966EA5">
        <w:tc>
          <w:tcPr>
            <w:tcW w:w="661" w:type="dxa"/>
          </w:tcPr>
          <w:p w:rsidR="00966EA5" w:rsidRDefault="00966EA5" w:rsidP="00D55C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7" w:type="dxa"/>
          </w:tcPr>
          <w:p w:rsidR="00966EA5" w:rsidRDefault="00966EA5" w:rsidP="00966EA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A5">
              <w:rPr>
                <w:rFonts w:ascii="Arial" w:hAnsi="Arial" w:cs="Arial"/>
                <w:sz w:val="20"/>
                <w:szCs w:val="20"/>
              </w:rPr>
              <w:t xml:space="preserve">Expected submission to the </w:t>
            </w:r>
            <w:r>
              <w:rPr>
                <w:rFonts w:ascii="Arial" w:hAnsi="Arial" w:cs="Arial"/>
                <w:sz w:val="20"/>
                <w:szCs w:val="20"/>
              </w:rPr>
              <w:t>annual General Meeting of Shareholders</w:t>
            </w:r>
            <w:r w:rsidRPr="00966EA5">
              <w:rPr>
                <w:rFonts w:ascii="Arial" w:hAnsi="Arial" w:cs="Arial"/>
                <w:sz w:val="20"/>
                <w:szCs w:val="20"/>
              </w:rPr>
              <w:t xml:space="preserve"> on the distribution of profit after tax</w:t>
            </w:r>
          </w:p>
        </w:tc>
        <w:tc>
          <w:tcPr>
            <w:tcW w:w="2718" w:type="dxa"/>
          </w:tcPr>
          <w:p w:rsidR="00966EA5" w:rsidRDefault="00966EA5" w:rsidP="00D55C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EA5" w:rsidTr="00966EA5">
        <w:tc>
          <w:tcPr>
            <w:tcW w:w="661" w:type="dxa"/>
          </w:tcPr>
          <w:p w:rsidR="00966EA5" w:rsidRDefault="00966EA5" w:rsidP="00D55C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6197" w:type="dxa"/>
          </w:tcPr>
          <w:p w:rsidR="00966EA5" w:rsidRDefault="00966EA5" w:rsidP="00D55C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A5">
              <w:rPr>
                <w:rFonts w:ascii="Arial" w:hAnsi="Arial" w:cs="Arial"/>
                <w:sz w:val="20"/>
                <w:szCs w:val="20"/>
              </w:rPr>
              <w:t xml:space="preserve">Total undistributed profit after tax  </w:t>
            </w:r>
          </w:p>
        </w:tc>
        <w:tc>
          <w:tcPr>
            <w:tcW w:w="2718" w:type="dxa"/>
          </w:tcPr>
          <w:p w:rsidR="00966EA5" w:rsidRDefault="00966EA5" w:rsidP="00D55C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A5">
              <w:rPr>
                <w:rFonts w:ascii="Arial" w:hAnsi="Arial" w:cs="Arial"/>
                <w:sz w:val="20"/>
                <w:szCs w:val="20"/>
              </w:rPr>
              <w:t>59,192,586,877</w:t>
            </w:r>
          </w:p>
        </w:tc>
      </w:tr>
      <w:tr w:rsidR="00966EA5" w:rsidTr="00966EA5">
        <w:tc>
          <w:tcPr>
            <w:tcW w:w="661" w:type="dxa"/>
          </w:tcPr>
          <w:p w:rsidR="00966EA5" w:rsidRDefault="00966EA5" w:rsidP="00D55C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2.1.1</w:t>
            </w:r>
          </w:p>
        </w:tc>
        <w:tc>
          <w:tcPr>
            <w:tcW w:w="6197" w:type="dxa"/>
          </w:tcPr>
          <w:p w:rsidR="00966EA5" w:rsidRDefault="00966EA5" w:rsidP="00D55C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A5">
              <w:rPr>
                <w:rFonts w:ascii="Arial" w:hAnsi="Arial" w:cs="Arial"/>
                <w:sz w:val="20"/>
                <w:szCs w:val="20"/>
              </w:rPr>
              <w:t>Profit after tax in 2018 transferred to</w:t>
            </w:r>
          </w:p>
        </w:tc>
        <w:tc>
          <w:tcPr>
            <w:tcW w:w="2718" w:type="dxa"/>
          </w:tcPr>
          <w:p w:rsidR="00966EA5" w:rsidRDefault="00966EA5" w:rsidP="00D55C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A5">
              <w:rPr>
                <w:rFonts w:ascii="Arial" w:hAnsi="Arial" w:cs="Arial"/>
                <w:sz w:val="20"/>
                <w:szCs w:val="20"/>
              </w:rPr>
              <w:t>935,799,500</w:t>
            </w:r>
          </w:p>
        </w:tc>
      </w:tr>
      <w:tr w:rsidR="00966EA5" w:rsidTr="00966EA5">
        <w:tc>
          <w:tcPr>
            <w:tcW w:w="661" w:type="dxa"/>
          </w:tcPr>
          <w:p w:rsidR="00966EA5" w:rsidRDefault="00966EA5" w:rsidP="00D55C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2.1.2</w:t>
            </w:r>
          </w:p>
        </w:tc>
        <w:tc>
          <w:tcPr>
            <w:tcW w:w="6197" w:type="dxa"/>
          </w:tcPr>
          <w:p w:rsidR="00966EA5" w:rsidRDefault="00966EA5" w:rsidP="00D55C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A5">
              <w:rPr>
                <w:rFonts w:ascii="Arial" w:hAnsi="Arial" w:cs="Arial"/>
                <w:sz w:val="20"/>
                <w:szCs w:val="20"/>
              </w:rPr>
              <w:t>Profit after tax in 2019</w:t>
            </w:r>
          </w:p>
        </w:tc>
        <w:tc>
          <w:tcPr>
            <w:tcW w:w="2718" w:type="dxa"/>
          </w:tcPr>
          <w:p w:rsidR="00966EA5" w:rsidRDefault="00966EA5" w:rsidP="00D55C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58,256,7</w:t>
            </w:r>
            <w:r w:rsidRPr="00966EA5">
              <w:rPr>
                <w:rFonts w:ascii="Arial" w:hAnsi="Arial" w:cs="Arial"/>
                <w:sz w:val="20"/>
                <w:szCs w:val="20"/>
              </w:rPr>
              <w:t>87,377</w:t>
            </w:r>
          </w:p>
        </w:tc>
      </w:tr>
      <w:tr w:rsidR="00966EA5" w:rsidTr="00966EA5">
        <w:tc>
          <w:tcPr>
            <w:tcW w:w="661" w:type="dxa"/>
          </w:tcPr>
          <w:p w:rsidR="00966EA5" w:rsidRDefault="00966EA5" w:rsidP="00D55C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6197" w:type="dxa"/>
          </w:tcPr>
          <w:p w:rsidR="00966EA5" w:rsidRDefault="00966EA5" w:rsidP="00D55C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A5">
              <w:rPr>
                <w:rFonts w:ascii="Arial" w:hAnsi="Arial" w:cs="Arial"/>
                <w:sz w:val="20"/>
                <w:szCs w:val="20"/>
              </w:rPr>
              <w:t>Expected distribution</w:t>
            </w:r>
          </w:p>
        </w:tc>
        <w:tc>
          <w:tcPr>
            <w:tcW w:w="2718" w:type="dxa"/>
          </w:tcPr>
          <w:p w:rsidR="00966EA5" w:rsidRDefault="00966EA5" w:rsidP="00D55C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A5">
              <w:rPr>
                <w:rFonts w:ascii="Arial" w:hAnsi="Arial" w:cs="Arial"/>
                <w:sz w:val="20"/>
                <w:szCs w:val="20"/>
              </w:rPr>
              <w:t>59,192,586,877</w:t>
            </w:r>
          </w:p>
        </w:tc>
      </w:tr>
      <w:tr w:rsidR="00966EA5" w:rsidTr="00966EA5">
        <w:tc>
          <w:tcPr>
            <w:tcW w:w="661" w:type="dxa"/>
          </w:tcPr>
          <w:p w:rsidR="00966EA5" w:rsidRDefault="00966EA5" w:rsidP="00D55C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2.2.1</w:t>
            </w:r>
          </w:p>
        </w:tc>
        <w:tc>
          <w:tcPr>
            <w:tcW w:w="6197" w:type="dxa"/>
          </w:tcPr>
          <w:p w:rsidR="00966EA5" w:rsidRDefault="00966EA5" w:rsidP="00D55C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Extracting to the Investment and Development Fund </w:t>
            </w:r>
          </w:p>
        </w:tc>
        <w:tc>
          <w:tcPr>
            <w:tcW w:w="2718" w:type="dxa"/>
          </w:tcPr>
          <w:p w:rsidR="00966EA5" w:rsidRDefault="00966EA5" w:rsidP="00D55C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A5">
              <w:rPr>
                <w:rFonts w:ascii="Arial" w:hAnsi="Arial" w:cs="Arial"/>
                <w:sz w:val="20"/>
                <w:szCs w:val="20"/>
              </w:rPr>
              <w:t>3,532,957,533</w:t>
            </w:r>
          </w:p>
        </w:tc>
      </w:tr>
      <w:tr w:rsidR="00966EA5" w:rsidTr="00966EA5">
        <w:tc>
          <w:tcPr>
            <w:tcW w:w="661" w:type="dxa"/>
          </w:tcPr>
          <w:p w:rsidR="00966EA5" w:rsidRDefault="00966EA5" w:rsidP="00D55C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2.2.2</w:t>
            </w:r>
          </w:p>
        </w:tc>
        <w:tc>
          <w:tcPr>
            <w:tcW w:w="6197" w:type="dxa"/>
          </w:tcPr>
          <w:p w:rsidR="00966EA5" w:rsidRDefault="00966EA5" w:rsidP="00D55C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Extracting to the Welfare and Reward Fund (5% of after-tax profit)</w:t>
            </w:r>
          </w:p>
        </w:tc>
        <w:tc>
          <w:tcPr>
            <w:tcW w:w="2718" w:type="dxa"/>
          </w:tcPr>
          <w:p w:rsidR="00966EA5" w:rsidRDefault="00966EA5" w:rsidP="00D55C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A5">
              <w:rPr>
                <w:rFonts w:ascii="Arial" w:hAnsi="Arial" w:cs="Arial"/>
                <w:sz w:val="20"/>
                <w:szCs w:val="20"/>
              </w:rPr>
              <w:t>2,959,629,344</w:t>
            </w:r>
          </w:p>
        </w:tc>
      </w:tr>
      <w:tr w:rsidR="00966EA5" w:rsidTr="00966EA5">
        <w:tc>
          <w:tcPr>
            <w:tcW w:w="661" w:type="dxa"/>
          </w:tcPr>
          <w:p w:rsidR="00966EA5" w:rsidRDefault="00966EA5" w:rsidP="00D55C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2.2.3</w:t>
            </w:r>
          </w:p>
        </w:tc>
        <w:tc>
          <w:tcPr>
            <w:tcW w:w="6197" w:type="dxa"/>
          </w:tcPr>
          <w:p w:rsidR="00966EA5" w:rsidRDefault="00966EA5" w:rsidP="00D55C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Dividend payment 17%</w:t>
            </w:r>
          </w:p>
        </w:tc>
        <w:tc>
          <w:tcPr>
            <w:tcW w:w="2718" w:type="dxa"/>
          </w:tcPr>
          <w:p w:rsidR="00966EA5" w:rsidRDefault="00966EA5" w:rsidP="00D55C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A5">
              <w:rPr>
                <w:rFonts w:ascii="Arial" w:hAnsi="Arial" w:cs="Arial"/>
                <w:sz w:val="20"/>
                <w:szCs w:val="20"/>
              </w:rPr>
              <w:t>52,700,000,000</w:t>
            </w:r>
          </w:p>
        </w:tc>
      </w:tr>
      <w:tr w:rsidR="00966EA5" w:rsidTr="00966EA5">
        <w:tc>
          <w:tcPr>
            <w:tcW w:w="661" w:type="dxa"/>
          </w:tcPr>
          <w:p w:rsidR="00966EA5" w:rsidRDefault="00966EA5" w:rsidP="00D55C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2.2.4</w:t>
            </w:r>
          </w:p>
        </w:tc>
        <w:tc>
          <w:tcPr>
            <w:tcW w:w="6197" w:type="dxa"/>
          </w:tcPr>
          <w:p w:rsidR="00966EA5" w:rsidRDefault="00966EA5" w:rsidP="00D55C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Undistributed profit</w:t>
            </w:r>
          </w:p>
        </w:tc>
        <w:tc>
          <w:tcPr>
            <w:tcW w:w="2718" w:type="dxa"/>
          </w:tcPr>
          <w:p w:rsidR="00966EA5" w:rsidRDefault="00966EA5" w:rsidP="00D55C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5917" w:rsidRDefault="00C65917" w:rsidP="00966EA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65917" w:rsidRDefault="00966EA5" w:rsidP="00966EA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6EA5">
        <w:rPr>
          <w:rFonts w:ascii="Arial" w:hAnsi="Arial" w:cs="Arial"/>
          <w:sz w:val="20"/>
          <w:szCs w:val="20"/>
        </w:rPr>
        <w:t xml:space="preserve">2. Dividend payment method: </w:t>
      </w:r>
    </w:p>
    <w:p w:rsidR="00C65917" w:rsidRDefault="00C65917" w:rsidP="00966EA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r w:rsidR="00966EA5" w:rsidRPr="00966EA5">
        <w:rPr>
          <w:rFonts w:ascii="Arial" w:hAnsi="Arial" w:cs="Arial"/>
          <w:sz w:val="20"/>
          <w:szCs w:val="20"/>
        </w:rPr>
        <w:t>Total dividend payment: VND</w:t>
      </w:r>
      <w:r>
        <w:rPr>
          <w:rFonts w:ascii="Arial" w:hAnsi="Arial" w:cs="Arial"/>
          <w:sz w:val="20"/>
          <w:szCs w:val="20"/>
        </w:rPr>
        <w:t xml:space="preserve"> </w:t>
      </w:r>
      <w:r w:rsidRPr="00966EA5">
        <w:rPr>
          <w:rFonts w:ascii="Arial" w:hAnsi="Arial" w:cs="Arial"/>
          <w:sz w:val="20"/>
          <w:szCs w:val="20"/>
        </w:rPr>
        <w:t>52,700,000,000</w:t>
      </w:r>
    </w:p>
    <w:p w:rsidR="00C65917" w:rsidRDefault="00C65917" w:rsidP="00966EA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(ii) Mode of payment: In cash</w:t>
      </w:r>
    </w:p>
    <w:p w:rsidR="00C65917" w:rsidRDefault="00966EA5" w:rsidP="00966EA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6EA5">
        <w:rPr>
          <w:rFonts w:ascii="Arial" w:hAnsi="Arial" w:cs="Arial"/>
          <w:sz w:val="20"/>
          <w:szCs w:val="20"/>
        </w:rPr>
        <w:t>(iii) Payment method: Cash</w:t>
      </w:r>
      <w:r w:rsidR="00C65917">
        <w:rPr>
          <w:rFonts w:ascii="Arial" w:hAnsi="Arial" w:cs="Arial"/>
          <w:sz w:val="20"/>
          <w:szCs w:val="20"/>
        </w:rPr>
        <w:t>/</w:t>
      </w:r>
      <w:r w:rsidRPr="00966EA5">
        <w:rPr>
          <w:rFonts w:ascii="Arial" w:hAnsi="Arial" w:cs="Arial"/>
          <w:sz w:val="20"/>
          <w:szCs w:val="20"/>
        </w:rPr>
        <w:t xml:space="preserve">transfer </w:t>
      </w:r>
    </w:p>
    <w:p w:rsidR="00C65917" w:rsidRDefault="00966EA5" w:rsidP="00966EA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6EA5">
        <w:rPr>
          <w:rFonts w:ascii="Arial" w:hAnsi="Arial" w:cs="Arial"/>
          <w:sz w:val="20"/>
          <w:szCs w:val="20"/>
        </w:rPr>
        <w:t>(iv) Dividend payment time</w:t>
      </w:r>
      <w:r w:rsidR="00C65917">
        <w:rPr>
          <w:rFonts w:ascii="Arial" w:hAnsi="Arial" w:cs="Arial"/>
          <w:sz w:val="20"/>
          <w:szCs w:val="20"/>
        </w:rPr>
        <w:t>:</w:t>
      </w:r>
      <w:r w:rsidRPr="00966EA5">
        <w:rPr>
          <w:rFonts w:ascii="Arial" w:hAnsi="Arial" w:cs="Arial"/>
          <w:sz w:val="20"/>
          <w:szCs w:val="20"/>
        </w:rPr>
        <w:t xml:space="preserve"> Agree to authorize the Board of Directors based on the Company's cash flow to deci</w:t>
      </w:r>
      <w:r w:rsidR="00C65917">
        <w:rPr>
          <w:rFonts w:ascii="Arial" w:hAnsi="Arial" w:cs="Arial"/>
          <w:sz w:val="20"/>
          <w:szCs w:val="20"/>
        </w:rPr>
        <w:t>de the time of dividend payment</w:t>
      </w:r>
    </w:p>
    <w:p w:rsidR="00966EA5" w:rsidRDefault="00966EA5" w:rsidP="00966EA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6EA5">
        <w:rPr>
          <w:rFonts w:ascii="Arial" w:hAnsi="Arial" w:cs="Arial"/>
          <w:sz w:val="20"/>
          <w:szCs w:val="20"/>
        </w:rPr>
        <w:t xml:space="preserve">Article 4. </w:t>
      </w:r>
      <w:r w:rsidR="00C65917">
        <w:rPr>
          <w:rFonts w:ascii="Arial" w:hAnsi="Arial" w:cs="Arial"/>
          <w:sz w:val="20"/>
          <w:szCs w:val="20"/>
        </w:rPr>
        <w:t>A</w:t>
      </w:r>
      <w:r w:rsidRPr="00966EA5">
        <w:rPr>
          <w:rFonts w:ascii="Arial" w:hAnsi="Arial" w:cs="Arial"/>
          <w:sz w:val="20"/>
          <w:szCs w:val="20"/>
        </w:rPr>
        <w:t xml:space="preserve">pproval of business plan </w:t>
      </w:r>
      <w:r w:rsidR="00C65917">
        <w:rPr>
          <w:rFonts w:ascii="Arial" w:hAnsi="Arial" w:cs="Arial"/>
          <w:sz w:val="20"/>
          <w:szCs w:val="20"/>
        </w:rPr>
        <w:t>and fixed asset investment plan</w:t>
      </w:r>
      <w:r w:rsidRPr="00966EA5">
        <w:rPr>
          <w:rFonts w:ascii="Arial" w:hAnsi="Arial" w:cs="Arial"/>
          <w:sz w:val="20"/>
          <w:szCs w:val="20"/>
        </w:rPr>
        <w:t xml:space="preserve"> with the following basic </w:t>
      </w:r>
      <w:r w:rsidR="00C65917">
        <w:rPr>
          <w:rFonts w:ascii="Arial" w:hAnsi="Arial" w:cs="Arial"/>
          <w:sz w:val="20"/>
          <w:szCs w:val="20"/>
        </w:rPr>
        <w:t>indicators</w:t>
      </w:r>
      <w:r w:rsidRPr="00966EA5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"/>
        <w:gridCol w:w="2722"/>
        <w:gridCol w:w="1595"/>
        <w:gridCol w:w="1596"/>
        <w:gridCol w:w="1595"/>
        <w:gridCol w:w="1596"/>
      </w:tblGrid>
      <w:tr w:rsidR="001A6CEF" w:rsidTr="001A6CEF">
        <w:tc>
          <w:tcPr>
            <w:tcW w:w="472" w:type="dxa"/>
          </w:tcPr>
          <w:p w:rsidR="001A6CEF" w:rsidRDefault="001A6CEF" w:rsidP="00966EA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722" w:type="dxa"/>
          </w:tcPr>
          <w:p w:rsidR="001A6CEF" w:rsidRDefault="001A6CEF" w:rsidP="00966EA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1595" w:type="dxa"/>
          </w:tcPr>
          <w:p w:rsidR="001A6CEF" w:rsidRDefault="001A6CEF" w:rsidP="00966EA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1596" w:type="dxa"/>
          </w:tcPr>
          <w:p w:rsidR="001A6CEF" w:rsidRDefault="001A6CEF" w:rsidP="00966EA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 2019</w:t>
            </w:r>
          </w:p>
        </w:tc>
        <w:tc>
          <w:tcPr>
            <w:tcW w:w="1595" w:type="dxa"/>
          </w:tcPr>
          <w:p w:rsidR="001A6CEF" w:rsidRDefault="001A6CEF" w:rsidP="00966EA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2020</w:t>
            </w:r>
          </w:p>
        </w:tc>
        <w:tc>
          <w:tcPr>
            <w:tcW w:w="1596" w:type="dxa"/>
          </w:tcPr>
          <w:p w:rsidR="001A6CEF" w:rsidRDefault="001A6CEF" w:rsidP="00966EA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2020/ Realization 2019</w:t>
            </w:r>
          </w:p>
        </w:tc>
      </w:tr>
      <w:tr w:rsidR="001A6CEF" w:rsidTr="001A6CEF">
        <w:tc>
          <w:tcPr>
            <w:tcW w:w="472" w:type="dxa"/>
          </w:tcPr>
          <w:p w:rsidR="001A6CEF" w:rsidRDefault="001A6CEF" w:rsidP="001A6C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22" w:type="dxa"/>
          </w:tcPr>
          <w:p w:rsidR="001A6CEF" w:rsidRDefault="001A6CEF" w:rsidP="001A6C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revenue</w:t>
            </w:r>
          </w:p>
        </w:tc>
        <w:tc>
          <w:tcPr>
            <w:tcW w:w="1595" w:type="dxa"/>
          </w:tcPr>
          <w:p w:rsidR="001A6CEF" w:rsidRDefault="001A6CEF" w:rsidP="001A6C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billion</w:t>
            </w:r>
          </w:p>
        </w:tc>
        <w:tc>
          <w:tcPr>
            <w:tcW w:w="1596" w:type="dxa"/>
          </w:tcPr>
          <w:p w:rsidR="001A6CEF" w:rsidRDefault="001A6CEF" w:rsidP="001A6C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1,183.22</w:t>
            </w:r>
          </w:p>
        </w:tc>
        <w:tc>
          <w:tcPr>
            <w:tcW w:w="1595" w:type="dxa"/>
          </w:tcPr>
          <w:p w:rsidR="001A6CEF" w:rsidRDefault="001A6CEF" w:rsidP="001A6C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1,132.89</w:t>
            </w:r>
          </w:p>
        </w:tc>
        <w:tc>
          <w:tcPr>
            <w:tcW w:w="1596" w:type="dxa"/>
          </w:tcPr>
          <w:p w:rsidR="001A6CEF" w:rsidRDefault="001A6CEF" w:rsidP="001A6C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96%</w:t>
            </w:r>
          </w:p>
        </w:tc>
      </w:tr>
      <w:tr w:rsidR="001A6CEF" w:rsidTr="001A6CEF">
        <w:tc>
          <w:tcPr>
            <w:tcW w:w="472" w:type="dxa"/>
          </w:tcPr>
          <w:p w:rsidR="001A6CEF" w:rsidRDefault="001A6CEF" w:rsidP="001A6C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:rsidR="001A6CEF" w:rsidRDefault="001A6CEF" w:rsidP="001A6C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revenue from sale</w:t>
            </w:r>
            <w:r w:rsidRPr="00D55CBB">
              <w:rPr>
                <w:rFonts w:ascii="Arial" w:hAnsi="Arial" w:cs="Arial"/>
                <w:sz w:val="20"/>
                <w:szCs w:val="20"/>
              </w:rPr>
              <w:t xml:space="preserve"> of goods and services</w:t>
            </w:r>
          </w:p>
        </w:tc>
        <w:tc>
          <w:tcPr>
            <w:tcW w:w="1595" w:type="dxa"/>
          </w:tcPr>
          <w:p w:rsidR="001A6CEF" w:rsidRDefault="001A6CEF" w:rsidP="001A6C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billion</w:t>
            </w:r>
          </w:p>
        </w:tc>
        <w:tc>
          <w:tcPr>
            <w:tcW w:w="1596" w:type="dxa"/>
          </w:tcPr>
          <w:p w:rsidR="001A6CEF" w:rsidRDefault="001A6CEF" w:rsidP="001A6C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CBB">
              <w:rPr>
                <w:rFonts w:ascii="Arial" w:hAnsi="Arial" w:cs="Arial"/>
                <w:sz w:val="20"/>
                <w:szCs w:val="20"/>
              </w:rPr>
              <w:t>1,101.94</w:t>
            </w:r>
          </w:p>
        </w:tc>
        <w:tc>
          <w:tcPr>
            <w:tcW w:w="1595" w:type="dxa"/>
          </w:tcPr>
          <w:p w:rsidR="001A6CEF" w:rsidRDefault="001A6CEF" w:rsidP="001A6C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1,061.04</w:t>
            </w:r>
          </w:p>
        </w:tc>
        <w:tc>
          <w:tcPr>
            <w:tcW w:w="1596" w:type="dxa"/>
          </w:tcPr>
          <w:p w:rsidR="001A6CEF" w:rsidRDefault="001A6CEF" w:rsidP="001A6C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96%</w:t>
            </w:r>
          </w:p>
        </w:tc>
      </w:tr>
      <w:tr w:rsidR="001A6CEF" w:rsidTr="001A6CEF">
        <w:tc>
          <w:tcPr>
            <w:tcW w:w="472" w:type="dxa"/>
          </w:tcPr>
          <w:p w:rsidR="001A6CEF" w:rsidRDefault="001A6CEF" w:rsidP="001A6C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22" w:type="dxa"/>
          </w:tcPr>
          <w:p w:rsidR="001A6CEF" w:rsidRDefault="001A6CEF" w:rsidP="001A6C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After-tax profit distributed</w:t>
            </w:r>
          </w:p>
        </w:tc>
        <w:tc>
          <w:tcPr>
            <w:tcW w:w="1595" w:type="dxa"/>
          </w:tcPr>
          <w:p w:rsidR="001A6CEF" w:rsidRDefault="001A6CEF" w:rsidP="001A6C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billion</w:t>
            </w:r>
          </w:p>
        </w:tc>
        <w:tc>
          <w:tcPr>
            <w:tcW w:w="1596" w:type="dxa"/>
          </w:tcPr>
          <w:p w:rsidR="001A6CEF" w:rsidRDefault="001A6CEF" w:rsidP="001A6C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CBB">
              <w:rPr>
                <w:rFonts w:ascii="Arial" w:hAnsi="Arial" w:cs="Arial"/>
                <w:sz w:val="20"/>
                <w:szCs w:val="20"/>
              </w:rPr>
              <w:t>58.26</w:t>
            </w:r>
          </w:p>
        </w:tc>
        <w:tc>
          <w:tcPr>
            <w:tcW w:w="1595" w:type="dxa"/>
          </w:tcPr>
          <w:p w:rsidR="001A6CEF" w:rsidRDefault="001A6CEF" w:rsidP="001A6C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85.54</w:t>
            </w:r>
          </w:p>
        </w:tc>
        <w:tc>
          <w:tcPr>
            <w:tcW w:w="1596" w:type="dxa"/>
          </w:tcPr>
          <w:p w:rsidR="001A6CEF" w:rsidRDefault="001A6CEF" w:rsidP="001A6C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147%</w:t>
            </w:r>
          </w:p>
        </w:tc>
      </w:tr>
      <w:tr w:rsidR="001A6CEF" w:rsidTr="001A6CEF">
        <w:tc>
          <w:tcPr>
            <w:tcW w:w="472" w:type="dxa"/>
          </w:tcPr>
          <w:p w:rsidR="001A6CEF" w:rsidRDefault="001A6CEF" w:rsidP="001A6C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22" w:type="dxa"/>
          </w:tcPr>
          <w:p w:rsidR="001A6CEF" w:rsidRDefault="001A6CEF" w:rsidP="001A6C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Dividend payment (minimum)</w:t>
            </w:r>
          </w:p>
        </w:tc>
        <w:tc>
          <w:tcPr>
            <w:tcW w:w="1595" w:type="dxa"/>
          </w:tcPr>
          <w:p w:rsidR="001A6CEF" w:rsidRDefault="001A6CEF" w:rsidP="001A6C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%/share</w:t>
            </w:r>
          </w:p>
        </w:tc>
        <w:tc>
          <w:tcPr>
            <w:tcW w:w="1596" w:type="dxa"/>
          </w:tcPr>
          <w:p w:rsidR="001A6CEF" w:rsidRDefault="001A6CEF" w:rsidP="001A6C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CB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95" w:type="dxa"/>
          </w:tcPr>
          <w:p w:rsidR="001A6CEF" w:rsidRDefault="001A6CEF" w:rsidP="001A6C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96" w:type="dxa"/>
          </w:tcPr>
          <w:p w:rsidR="001A6CEF" w:rsidRDefault="001A6CEF" w:rsidP="001A6C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1A6CEF" w:rsidTr="001A6CEF">
        <w:tc>
          <w:tcPr>
            <w:tcW w:w="472" w:type="dxa"/>
          </w:tcPr>
          <w:p w:rsidR="001A6CEF" w:rsidRDefault="001A6CEF" w:rsidP="001A6C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22" w:type="dxa"/>
          </w:tcPr>
          <w:p w:rsidR="001A6CEF" w:rsidRDefault="001A6CEF" w:rsidP="001A6C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55CBB">
              <w:rPr>
                <w:rFonts w:ascii="Arial" w:hAnsi="Arial" w:cs="Arial"/>
                <w:sz w:val="20"/>
                <w:szCs w:val="20"/>
              </w:rPr>
              <w:t>onstruction, fixed assets</w:t>
            </w:r>
          </w:p>
        </w:tc>
        <w:tc>
          <w:tcPr>
            <w:tcW w:w="1595" w:type="dxa"/>
          </w:tcPr>
          <w:p w:rsidR="001A6CEF" w:rsidRDefault="001A6CEF" w:rsidP="001A6C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billion</w:t>
            </w:r>
          </w:p>
        </w:tc>
        <w:tc>
          <w:tcPr>
            <w:tcW w:w="1596" w:type="dxa"/>
          </w:tcPr>
          <w:p w:rsidR="001A6CEF" w:rsidRDefault="001A6CEF" w:rsidP="001A6C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CBB">
              <w:rPr>
                <w:rFonts w:ascii="Arial" w:hAnsi="Arial" w:cs="Arial"/>
                <w:sz w:val="20"/>
                <w:szCs w:val="20"/>
              </w:rPr>
              <w:t>9.12</w:t>
            </w:r>
          </w:p>
        </w:tc>
        <w:tc>
          <w:tcPr>
            <w:tcW w:w="1595" w:type="dxa"/>
          </w:tcPr>
          <w:p w:rsidR="001A6CEF" w:rsidRDefault="001A6CEF" w:rsidP="001A6C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26.81</w:t>
            </w:r>
          </w:p>
        </w:tc>
        <w:tc>
          <w:tcPr>
            <w:tcW w:w="1596" w:type="dxa"/>
          </w:tcPr>
          <w:p w:rsidR="001A6CEF" w:rsidRDefault="001A6CEF" w:rsidP="001A6C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294%</w:t>
            </w:r>
          </w:p>
        </w:tc>
      </w:tr>
      <w:tr w:rsidR="001A6CEF" w:rsidTr="001A6CEF">
        <w:tc>
          <w:tcPr>
            <w:tcW w:w="472" w:type="dxa"/>
          </w:tcPr>
          <w:p w:rsidR="001A6CEF" w:rsidRDefault="001A6CEF" w:rsidP="001A6C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22" w:type="dxa"/>
          </w:tcPr>
          <w:p w:rsidR="001A6CEF" w:rsidRDefault="001A6CEF" w:rsidP="001A6C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CBB">
              <w:rPr>
                <w:rFonts w:ascii="Arial" w:hAnsi="Arial" w:cs="Arial"/>
                <w:sz w:val="20"/>
                <w:szCs w:val="20"/>
              </w:rPr>
              <w:t>Total salary fund</w:t>
            </w:r>
          </w:p>
        </w:tc>
        <w:tc>
          <w:tcPr>
            <w:tcW w:w="1595" w:type="dxa"/>
          </w:tcPr>
          <w:p w:rsidR="001A6CEF" w:rsidRDefault="001A6CEF" w:rsidP="001A6C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billion</w:t>
            </w:r>
          </w:p>
        </w:tc>
        <w:tc>
          <w:tcPr>
            <w:tcW w:w="1596" w:type="dxa"/>
          </w:tcPr>
          <w:p w:rsidR="001A6CEF" w:rsidRDefault="001A6CEF" w:rsidP="001A6C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CBB">
              <w:rPr>
                <w:rFonts w:ascii="Arial" w:hAnsi="Arial" w:cs="Arial"/>
                <w:sz w:val="20"/>
                <w:szCs w:val="20"/>
              </w:rPr>
              <w:t>111.09</w:t>
            </w:r>
          </w:p>
        </w:tc>
        <w:tc>
          <w:tcPr>
            <w:tcW w:w="1595" w:type="dxa"/>
          </w:tcPr>
          <w:p w:rsidR="001A6CEF" w:rsidRDefault="001A6CEF" w:rsidP="001A6C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114.37</w:t>
            </w:r>
          </w:p>
        </w:tc>
        <w:tc>
          <w:tcPr>
            <w:tcW w:w="1596" w:type="dxa"/>
          </w:tcPr>
          <w:p w:rsidR="001A6CEF" w:rsidRDefault="001A6CEF" w:rsidP="001A6C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103%</w:t>
            </w:r>
          </w:p>
        </w:tc>
      </w:tr>
      <w:tr w:rsidR="001A6CEF" w:rsidTr="001A6CEF">
        <w:tc>
          <w:tcPr>
            <w:tcW w:w="472" w:type="dxa"/>
          </w:tcPr>
          <w:p w:rsidR="001A6CEF" w:rsidRDefault="001A6CEF" w:rsidP="001A6C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22" w:type="dxa"/>
          </w:tcPr>
          <w:p w:rsidR="001A6CEF" w:rsidRDefault="001A6CEF" w:rsidP="001A6C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55CBB">
              <w:rPr>
                <w:rFonts w:ascii="Arial" w:hAnsi="Arial" w:cs="Arial"/>
                <w:sz w:val="20"/>
                <w:szCs w:val="20"/>
              </w:rPr>
              <w:t>alary/revenue</w:t>
            </w:r>
          </w:p>
        </w:tc>
        <w:tc>
          <w:tcPr>
            <w:tcW w:w="1595" w:type="dxa"/>
          </w:tcPr>
          <w:p w:rsidR="001A6CEF" w:rsidRDefault="001A6CEF" w:rsidP="001A6C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596" w:type="dxa"/>
          </w:tcPr>
          <w:p w:rsidR="001A6CEF" w:rsidRDefault="001A6CEF" w:rsidP="001A6C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CBB">
              <w:rPr>
                <w:rFonts w:ascii="Arial" w:hAnsi="Arial" w:cs="Arial"/>
                <w:sz w:val="20"/>
                <w:szCs w:val="20"/>
              </w:rPr>
              <w:t>10.1</w:t>
            </w:r>
          </w:p>
        </w:tc>
        <w:tc>
          <w:tcPr>
            <w:tcW w:w="1595" w:type="dxa"/>
          </w:tcPr>
          <w:p w:rsidR="001A6CEF" w:rsidRDefault="001A6CEF" w:rsidP="001A6C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10.8</w:t>
            </w:r>
          </w:p>
        </w:tc>
        <w:tc>
          <w:tcPr>
            <w:tcW w:w="1596" w:type="dxa"/>
          </w:tcPr>
          <w:p w:rsidR="001A6CEF" w:rsidRDefault="001A6CEF" w:rsidP="001A6C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</w:tr>
    </w:tbl>
    <w:p w:rsidR="00C65917" w:rsidRPr="00966EA5" w:rsidRDefault="00C65917" w:rsidP="00966EA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5CBB" w:rsidRDefault="001A6CEF" w:rsidP="00D55CB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5: Approve the expected profit distribution for 2020</w:t>
      </w:r>
    </w:p>
    <w:p w:rsidR="001A6CEF" w:rsidRDefault="001A6CEF" w:rsidP="00D55CB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Minimum dividend payment: 17%</w:t>
      </w:r>
    </w:p>
    <w:p w:rsidR="001A6CEF" w:rsidRDefault="001A6CEF" w:rsidP="00D55CB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Plan on distribution of after-tax profit, dividend payment rate for 2020 based on the operation result of 2020 and decision of the annual General Meeting of Shareholders of 2021</w:t>
      </w:r>
    </w:p>
    <w:p w:rsidR="001A6CEF" w:rsidRDefault="001A6CEF" w:rsidP="00D55CB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Article 6: Approve the criteria and list of auditing companies for fiscal year of 2020</w:t>
      </w:r>
    </w:p>
    <w:p w:rsidR="001A6CEF" w:rsidRDefault="001A6CEF" w:rsidP="00D55CB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7:</w:t>
      </w:r>
      <w:r w:rsidRPr="001A6C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Approve</w:t>
      </w:r>
      <w:r w:rsidRPr="001A6CEF">
        <w:rPr>
          <w:rFonts w:ascii="Arial" w:hAnsi="Arial" w:cs="Arial"/>
          <w:sz w:val="20"/>
          <w:szCs w:val="20"/>
        </w:rPr>
        <w:t xml:space="preserve"> remuneration for the Board of Directors and the Supervisory Board in 2020: </w:t>
      </w:r>
    </w:p>
    <w:p w:rsidR="001A6CEF" w:rsidRDefault="001A6CEF" w:rsidP="00D55CB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6CEF">
        <w:rPr>
          <w:rFonts w:ascii="Arial" w:hAnsi="Arial" w:cs="Arial"/>
          <w:sz w:val="20"/>
          <w:szCs w:val="20"/>
        </w:rPr>
        <w:t xml:space="preserve">1. Remuneration for </w:t>
      </w:r>
      <w:r>
        <w:rPr>
          <w:rFonts w:ascii="Arial" w:hAnsi="Arial" w:cs="Arial"/>
          <w:sz w:val="20"/>
          <w:szCs w:val="20"/>
        </w:rPr>
        <w:t xml:space="preserve">part-time </w:t>
      </w:r>
      <w:r w:rsidRPr="001A6CEF">
        <w:rPr>
          <w:rFonts w:ascii="Arial" w:hAnsi="Arial" w:cs="Arial"/>
          <w:sz w:val="20"/>
          <w:szCs w:val="20"/>
        </w:rPr>
        <w:t xml:space="preserve">members of the Board of Directors and </w:t>
      </w:r>
      <w:r>
        <w:rPr>
          <w:rFonts w:ascii="Arial" w:hAnsi="Arial" w:cs="Arial"/>
          <w:sz w:val="20"/>
          <w:szCs w:val="20"/>
        </w:rPr>
        <w:t xml:space="preserve">part-time </w:t>
      </w:r>
      <w:r w:rsidRPr="001A6CEF">
        <w:rPr>
          <w:rFonts w:ascii="Arial" w:hAnsi="Arial" w:cs="Arial"/>
          <w:sz w:val="20"/>
          <w:szCs w:val="20"/>
        </w:rPr>
        <w:t xml:space="preserve">members of the </w:t>
      </w:r>
      <w:r>
        <w:rPr>
          <w:rFonts w:ascii="Arial" w:hAnsi="Arial" w:cs="Arial"/>
          <w:sz w:val="20"/>
          <w:szCs w:val="20"/>
        </w:rPr>
        <w:t>Supervisor Board</w:t>
      </w:r>
      <w:r w:rsidRPr="001A6CEF">
        <w:rPr>
          <w:rFonts w:ascii="Arial" w:hAnsi="Arial" w:cs="Arial"/>
          <w:sz w:val="20"/>
          <w:szCs w:val="20"/>
        </w:rPr>
        <w:t xml:space="preserve"> (not including personal income tax): </w:t>
      </w:r>
    </w:p>
    <w:p w:rsidR="001A6CEF" w:rsidRDefault="001A6CEF" w:rsidP="00D55CB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6CEF">
        <w:rPr>
          <w:rFonts w:ascii="Arial" w:hAnsi="Arial" w:cs="Arial"/>
          <w:sz w:val="20"/>
          <w:szCs w:val="20"/>
        </w:rPr>
        <w:t xml:space="preserve">+ Chairman of the Board of Directors: VND </w:t>
      </w:r>
      <w:r>
        <w:rPr>
          <w:rFonts w:ascii="Arial" w:hAnsi="Arial" w:cs="Arial"/>
          <w:sz w:val="20"/>
          <w:szCs w:val="20"/>
        </w:rPr>
        <w:t>10,000,000</w:t>
      </w:r>
      <w:r w:rsidRPr="001A6CEF">
        <w:rPr>
          <w:rFonts w:ascii="Arial" w:hAnsi="Arial" w:cs="Arial"/>
          <w:sz w:val="20"/>
          <w:szCs w:val="20"/>
        </w:rPr>
        <w:t xml:space="preserve">/month </w:t>
      </w:r>
    </w:p>
    <w:p w:rsidR="001A6CEF" w:rsidRDefault="001A6CEF" w:rsidP="00D55CB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6CEF">
        <w:rPr>
          <w:rFonts w:ascii="Arial" w:hAnsi="Arial" w:cs="Arial"/>
          <w:sz w:val="20"/>
          <w:szCs w:val="20"/>
        </w:rPr>
        <w:t xml:space="preserve">+ Vice Chairman of the Board of Directors: </w:t>
      </w:r>
      <w:r>
        <w:rPr>
          <w:rFonts w:ascii="Arial" w:hAnsi="Arial" w:cs="Arial"/>
          <w:sz w:val="20"/>
          <w:szCs w:val="20"/>
        </w:rPr>
        <w:t>VND 8,000,000/</w:t>
      </w:r>
      <w:r w:rsidRPr="001A6CEF">
        <w:rPr>
          <w:rFonts w:ascii="Arial" w:hAnsi="Arial" w:cs="Arial"/>
          <w:sz w:val="20"/>
          <w:szCs w:val="20"/>
        </w:rPr>
        <w:t xml:space="preserve">month </w:t>
      </w:r>
    </w:p>
    <w:p w:rsidR="001A6CEF" w:rsidRDefault="001A6CEF" w:rsidP="00D55CB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6CEF">
        <w:rPr>
          <w:rFonts w:ascii="Arial" w:hAnsi="Arial" w:cs="Arial"/>
          <w:sz w:val="20"/>
          <w:szCs w:val="20"/>
        </w:rPr>
        <w:t xml:space="preserve">+ Member of the Board of Directors: </w:t>
      </w:r>
      <w:r>
        <w:rPr>
          <w:rFonts w:ascii="Arial" w:hAnsi="Arial" w:cs="Arial"/>
          <w:sz w:val="20"/>
          <w:szCs w:val="20"/>
        </w:rPr>
        <w:t>VND 6,000,000/</w:t>
      </w:r>
      <w:r w:rsidRPr="001A6CEF">
        <w:rPr>
          <w:rFonts w:ascii="Arial" w:hAnsi="Arial" w:cs="Arial"/>
          <w:sz w:val="20"/>
          <w:szCs w:val="20"/>
        </w:rPr>
        <w:t xml:space="preserve">month </w:t>
      </w:r>
    </w:p>
    <w:p w:rsidR="006909EF" w:rsidRDefault="001A6CEF" w:rsidP="00D55CB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6CEF">
        <w:rPr>
          <w:rFonts w:ascii="Arial" w:hAnsi="Arial" w:cs="Arial"/>
          <w:sz w:val="20"/>
          <w:szCs w:val="20"/>
        </w:rPr>
        <w:t xml:space="preserve">+ Head of Supervisory Board: </w:t>
      </w:r>
      <w:r w:rsidR="006909EF">
        <w:rPr>
          <w:rFonts w:ascii="Arial" w:hAnsi="Arial" w:cs="Arial"/>
          <w:sz w:val="20"/>
          <w:szCs w:val="20"/>
        </w:rPr>
        <w:t>VND 6,000,000/</w:t>
      </w:r>
      <w:r w:rsidRPr="001A6CEF">
        <w:rPr>
          <w:rFonts w:ascii="Arial" w:hAnsi="Arial" w:cs="Arial"/>
          <w:sz w:val="20"/>
          <w:szCs w:val="20"/>
        </w:rPr>
        <w:t xml:space="preserve">month </w:t>
      </w:r>
    </w:p>
    <w:p w:rsidR="006909EF" w:rsidRDefault="001A6CEF" w:rsidP="00D55CB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6CEF">
        <w:rPr>
          <w:rFonts w:ascii="Arial" w:hAnsi="Arial" w:cs="Arial"/>
          <w:sz w:val="20"/>
          <w:szCs w:val="20"/>
        </w:rPr>
        <w:t xml:space="preserve">+ Member of the Supervisory Board: </w:t>
      </w:r>
      <w:r w:rsidR="006909EF">
        <w:rPr>
          <w:rFonts w:ascii="Arial" w:hAnsi="Arial" w:cs="Arial"/>
          <w:sz w:val="20"/>
          <w:szCs w:val="20"/>
        </w:rPr>
        <w:t>VND 5,000,000/</w:t>
      </w:r>
      <w:r w:rsidRPr="001A6CEF">
        <w:rPr>
          <w:rFonts w:ascii="Arial" w:hAnsi="Arial" w:cs="Arial"/>
          <w:sz w:val="20"/>
          <w:szCs w:val="20"/>
        </w:rPr>
        <w:t xml:space="preserve">month (Five million VND) </w:t>
      </w:r>
    </w:p>
    <w:p w:rsidR="006909EF" w:rsidRDefault="006909EF" w:rsidP="00D55CB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Full-time members of the Board of Directors and/</w:t>
      </w:r>
      <w:r w:rsidR="001A6CEF" w:rsidRPr="001A6CEF">
        <w:rPr>
          <w:rFonts w:ascii="Arial" w:hAnsi="Arial" w:cs="Arial"/>
          <w:sz w:val="20"/>
          <w:szCs w:val="20"/>
        </w:rPr>
        <w:t xml:space="preserve">or </w:t>
      </w:r>
      <w:r>
        <w:rPr>
          <w:rFonts w:ascii="Arial" w:hAnsi="Arial" w:cs="Arial"/>
          <w:sz w:val="20"/>
          <w:szCs w:val="20"/>
        </w:rPr>
        <w:t>cum direction</w:t>
      </w:r>
      <w:r w:rsidR="001A6CEF" w:rsidRPr="001A6CEF">
        <w:rPr>
          <w:rFonts w:ascii="Arial" w:hAnsi="Arial" w:cs="Arial"/>
          <w:sz w:val="20"/>
          <w:szCs w:val="20"/>
        </w:rPr>
        <w:t xml:space="preserve">, members </w:t>
      </w:r>
      <w:r>
        <w:rPr>
          <w:rFonts w:ascii="Arial" w:hAnsi="Arial" w:cs="Arial"/>
          <w:sz w:val="20"/>
          <w:szCs w:val="20"/>
        </w:rPr>
        <w:t>Supervisor Board are entitled to salary according to salary r</w:t>
      </w:r>
      <w:r w:rsidR="001A6CEF" w:rsidRPr="001A6CEF">
        <w:rPr>
          <w:rFonts w:ascii="Arial" w:hAnsi="Arial" w:cs="Arial"/>
          <w:sz w:val="20"/>
          <w:szCs w:val="20"/>
        </w:rPr>
        <w:t xml:space="preserve">egulations of </w:t>
      </w:r>
      <w:r w:rsidRPr="006909EF">
        <w:rPr>
          <w:rFonts w:ascii="Arial" w:hAnsi="Arial" w:cs="Arial"/>
          <w:sz w:val="20"/>
          <w:szCs w:val="20"/>
        </w:rPr>
        <w:t>Dong Anh Mechanical JSC</w:t>
      </w:r>
    </w:p>
    <w:p w:rsidR="001A6CEF" w:rsidRDefault="001A6CEF" w:rsidP="00D55CB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6CEF">
        <w:rPr>
          <w:rFonts w:ascii="Arial" w:hAnsi="Arial" w:cs="Arial"/>
          <w:sz w:val="20"/>
          <w:szCs w:val="20"/>
        </w:rPr>
        <w:t>3. Time for remuneration</w:t>
      </w:r>
      <w:r w:rsidR="006909EF">
        <w:rPr>
          <w:rFonts w:ascii="Arial" w:hAnsi="Arial" w:cs="Arial"/>
          <w:sz w:val="20"/>
          <w:szCs w:val="20"/>
        </w:rPr>
        <w:t xml:space="preserve"> payment to</w:t>
      </w:r>
      <w:r w:rsidRPr="001A6CEF">
        <w:rPr>
          <w:rFonts w:ascii="Arial" w:hAnsi="Arial" w:cs="Arial"/>
          <w:sz w:val="20"/>
          <w:szCs w:val="20"/>
        </w:rPr>
        <w:t xml:space="preserve"> members of the </w:t>
      </w:r>
      <w:r w:rsidR="006909EF">
        <w:rPr>
          <w:rFonts w:ascii="Arial" w:hAnsi="Arial" w:cs="Arial"/>
          <w:sz w:val="20"/>
          <w:szCs w:val="20"/>
        </w:rPr>
        <w:t>Board of Directors</w:t>
      </w:r>
      <w:r w:rsidRPr="001A6CEF">
        <w:rPr>
          <w:rFonts w:ascii="Arial" w:hAnsi="Arial" w:cs="Arial"/>
          <w:sz w:val="20"/>
          <w:szCs w:val="20"/>
        </w:rPr>
        <w:t xml:space="preserve"> and the Supervisory Board: at the end of each month</w:t>
      </w:r>
    </w:p>
    <w:p w:rsidR="006909EF" w:rsidRDefault="006909EF" w:rsidP="006909E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09EF">
        <w:rPr>
          <w:rFonts w:ascii="Arial" w:hAnsi="Arial" w:cs="Arial"/>
          <w:sz w:val="20"/>
          <w:szCs w:val="20"/>
        </w:rPr>
        <w:t xml:space="preserve">4. Operating budget of the Board of Directors, </w:t>
      </w:r>
      <w:r>
        <w:rPr>
          <w:rFonts w:ascii="Arial" w:hAnsi="Arial" w:cs="Arial"/>
          <w:sz w:val="20"/>
          <w:szCs w:val="20"/>
        </w:rPr>
        <w:t>Supervisor Board</w:t>
      </w:r>
      <w:r w:rsidRPr="006909EF">
        <w:rPr>
          <w:rFonts w:ascii="Arial" w:hAnsi="Arial" w:cs="Arial"/>
          <w:sz w:val="20"/>
          <w:szCs w:val="20"/>
        </w:rPr>
        <w:t xml:space="preserve">: Including expenses for organizing meetings, traveling, accommodation, other reasonable expenses and being paid according to actual arising amounts and within the budget for </w:t>
      </w:r>
      <w:r>
        <w:rPr>
          <w:rFonts w:ascii="Arial" w:hAnsi="Arial" w:cs="Arial"/>
          <w:sz w:val="20"/>
          <w:szCs w:val="20"/>
        </w:rPr>
        <w:t xml:space="preserve">general </w:t>
      </w:r>
      <w:r w:rsidRPr="006909EF">
        <w:rPr>
          <w:rFonts w:ascii="Arial" w:hAnsi="Arial" w:cs="Arial"/>
          <w:sz w:val="20"/>
          <w:szCs w:val="20"/>
        </w:rPr>
        <w:t xml:space="preserve">activities of the Company in the fiscal year </w:t>
      </w:r>
      <w:r>
        <w:rPr>
          <w:rFonts w:ascii="Arial" w:hAnsi="Arial" w:cs="Arial"/>
          <w:sz w:val="20"/>
          <w:szCs w:val="20"/>
        </w:rPr>
        <w:t xml:space="preserve">of </w:t>
      </w:r>
      <w:r w:rsidRPr="006909EF">
        <w:rPr>
          <w:rFonts w:ascii="Arial" w:hAnsi="Arial" w:cs="Arial"/>
          <w:sz w:val="20"/>
          <w:szCs w:val="20"/>
        </w:rPr>
        <w:t>2020. Ensure savings, reasonableness,</w:t>
      </w:r>
      <w:r>
        <w:rPr>
          <w:rFonts w:ascii="Arial" w:hAnsi="Arial" w:cs="Arial"/>
          <w:sz w:val="20"/>
          <w:szCs w:val="20"/>
        </w:rPr>
        <w:t xml:space="preserve"> compliance with the Company's C</w:t>
      </w:r>
      <w:r w:rsidRPr="006909EF">
        <w:rPr>
          <w:rFonts w:ascii="Arial" w:hAnsi="Arial" w:cs="Arial"/>
          <w:sz w:val="20"/>
          <w:szCs w:val="20"/>
        </w:rPr>
        <w:t>harter, financial regulations and regimes,</w:t>
      </w:r>
      <w:r>
        <w:rPr>
          <w:rFonts w:ascii="Arial" w:hAnsi="Arial" w:cs="Arial"/>
          <w:sz w:val="20"/>
          <w:szCs w:val="20"/>
        </w:rPr>
        <w:t xml:space="preserve"> internal norms of the Company</w:t>
      </w:r>
    </w:p>
    <w:p w:rsidR="006909EF" w:rsidRDefault="006909EF" w:rsidP="006909E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8: Approving the change in</w:t>
      </w:r>
      <w:r w:rsidRPr="006909EF">
        <w:rPr>
          <w:rFonts w:ascii="Arial" w:hAnsi="Arial" w:cs="Arial"/>
          <w:sz w:val="20"/>
          <w:szCs w:val="20"/>
        </w:rPr>
        <w:t xml:space="preserve"> the operation registration content of Dong Anh Mechanical JSC, the Center for Research and Development of Construction Mechanics and Dong Anh Aluminum Factory</w:t>
      </w:r>
      <w:r>
        <w:rPr>
          <w:rFonts w:ascii="Arial" w:hAnsi="Arial" w:cs="Arial"/>
          <w:sz w:val="20"/>
          <w:szCs w:val="20"/>
        </w:rPr>
        <w:t>:</w:t>
      </w:r>
    </w:p>
    <w:p w:rsidR="006909EF" w:rsidRDefault="006909EF" w:rsidP="006909E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Changing the content in</w:t>
      </w:r>
      <w:r w:rsidRPr="006909EF">
        <w:rPr>
          <w:rFonts w:ascii="Arial" w:hAnsi="Arial" w:cs="Arial"/>
          <w:sz w:val="20"/>
          <w:szCs w:val="20"/>
        </w:rPr>
        <w:t xml:space="preserve"> Business registration of Dong Anh Mechanical JSC, specifically: </w:t>
      </w:r>
    </w:p>
    <w:p w:rsidR="006909EF" w:rsidRDefault="006909EF" w:rsidP="006909E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</w:t>
      </w:r>
      <w:r w:rsidRPr="006909EF">
        <w:rPr>
          <w:rFonts w:ascii="Arial" w:hAnsi="Arial" w:cs="Arial"/>
          <w:sz w:val="20"/>
          <w:szCs w:val="20"/>
        </w:rPr>
        <w:t xml:space="preserve"> Supplementing business lines to facilitate production and business activities </w:t>
      </w:r>
    </w:p>
    <w:p w:rsidR="006909EF" w:rsidRDefault="006909EF" w:rsidP="006909E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1.1.1</w:t>
      </w:r>
      <w:r w:rsidRPr="006909EF">
        <w:rPr>
          <w:rFonts w:ascii="Arial" w:hAnsi="Arial" w:cs="Arial"/>
          <w:sz w:val="20"/>
          <w:szCs w:val="20"/>
        </w:rPr>
        <w:t xml:space="preserve"> Activities of centers, consulting agencies, introduction and labor brokers, employment: </w:t>
      </w:r>
    </w:p>
    <w:p w:rsidR="006909EF" w:rsidRDefault="006909EF" w:rsidP="006909E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09EF">
        <w:rPr>
          <w:rFonts w:ascii="Arial" w:hAnsi="Arial" w:cs="Arial"/>
          <w:sz w:val="20"/>
          <w:szCs w:val="20"/>
        </w:rPr>
        <w:t>- Details: Activities of labor, counselin</w:t>
      </w:r>
      <w:r>
        <w:rPr>
          <w:rFonts w:ascii="Arial" w:hAnsi="Arial" w:cs="Arial"/>
          <w:sz w:val="20"/>
          <w:szCs w:val="20"/>
        </w:rPr>
        <w:t>g, labor and employment agents</w:t>
      </w:r>
    </w:p>
    <w:p w:rsidR="006909EF" w:rsidRDefault="006909EF" w:rsidP="006909E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1.1.2 Supplying temporary labor</w:t>
      </w:r>
    </w:p>
    <w:p w:rsidR="006909EF" w:rsidRDefault="006909EF" w:rsidP="006909E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1.1.3</w:t>
      </w:r>
      <w:r w:rsidRPr="006909EF">
        <w:rPr>
          <w:rFonts w:ascii="Arial" w:hAnsi="Arial" w:cs="Arial"/>
          <w:sz w:val="20"/>
          <w:szCs w:val="20"/>
        </w:rPr>
        <w:t xml:space="preserve"> Supply and management of labor resources: </w:t>
      </w:r>
    </w:p>
    <w:p w:rsidR="006909EF" w:rsidRDefault="006909EF" w:rsidP="006909E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09EF">
        <w:rPr>
          <w:rFonts w:ascii="Arial" w:hAnsi="Arial" w:cs="Arial"/>
          <w:sz w:val="20"/>
          <w:szCs w:val="20"/>
        </w:rPr>
        <w:t>- Details</w:t>
      </w:r>
      <w:r>
        <w:rPr>
          <w:rFonts w:ascii="Arial" w:hAnsi="Arial" w:cs="Arial"/>
          <w:sz w:val="20"/>
          <w:szCs w:val="20"/>
        </w:rPr>
        <w:t>: Labor outsourcing activities</w:t>
      </w:r>
    </w:p>
    <w:p w:rsidR="0032223C" w:rsidRDefault="006909EF" w:rsidP="006909E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1.2 </w:t>
      </w:r>
      <w:r w:rsidR="0032223C">
        <w:rPr>
          <w:rFonts w:ascii="Arial" w:hAnsi="Arial" w:cs="Arial"/>
          <w:sz w:val="20"/>
          <w:szCs w:val="20"/>
        </w:rPr>
        <w:t xml:space="preserve">Change in the </w:t>
      </w:r>
      <w:r w:rsidRPr="006909EF">
        <w:rPr>
          <w:rFonts w:ascii="Arial" w:hAnsi="Arial" w:cs="Arial"/>
          <w:sz w:val="20"/>
          <w:szCs w:val="20"/>
        </w:rPr>
        <w:t xml:space="preserve">Company's </w:t>
      </w:r>
      <w:r w:rsidR="0032223C">
        <w:rPr>
          <w:rFonts w:ascii="Arial" w:hAnsi="Arial" w:cs="Arial"/>
          <w:sz w:val="20"/>
          <w:szCs w:val="20"/>
        </w:rPr>
        <w:t>address due to merger, change in</w:t>
      </w:r>
      <w:r w:rsidRPr="006909EF">
        <w:rPr>
          <w:rFonts w:ascii="Arial" w:hAnsi="Arial" w:cs="Arial"/>
          <w:sz w:val="20"/>
          <w:szCs w:val="20"/>
        </w:rPr>
        <w:t xml:space="preserve"> residential group name at the a</w:t>
      </w:r>
      <w:r w:rsidR="0032223C">
        <w:rPr>
          <w:rFonts w:ascii="Arial" w:hAnsi="Arial" w:cs="Arial"/>
          <w:sz w:val="20"/>
          <w:szCs w:val="20"/>
        </w:rPr>
        <w:t>ddress of Company's Headquarter</w:t>
      </w:r>
      <w:r w:rsidRPr="006909EF">
        <w:rPr>
          <w:rFonts w:ascii="Arial" w:hAnsi="Arial" w:cs="Arial"/>
          <w:sz w:val="20"/>
          <w:szCs w:val="20"/>
        </w:rPr>
        <w:t xml:space="preserve"> </w:t>
      </w:r>
    </w:p>
    <w:p w:rsidR="0032223C" w:rsidRDefault="006909EF" w:rsidP="006909E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09EF">
        <w:rPr>
          <w:rFonts w:ascii="Arial" w:hAnsi="Arial" w:cs="Arial"/>
          <w:sz w:val="20"/>
          <w:szCs w:val="20"/>
        </w:rPr>
        <w:t>- Registered information: Group 8, Dong An</w:t>
      </w:r>
      <w:r w:rsidR="0032223C">
        <w:rPr>
          <w:rFonts w:ascii="Arial" w:hAnsi="Arial" w:cs="Arial"/>
          <w:sz w:val="20"/>
          <w:szCs w:val="20"/>
        </w:rPr>
        <w:t xml:space="preserve">h Town, Dong Anh District, Ha </w:t>
      </w:r>
      <w:proofErr w:type="spellStart"/>
      <w:r w:rsidR="0032223C">
        <w:rPr>
          <w:rFonts w:ascii="Arial" w:hAnsi="Arial" w:cs="Arial"/>
          <w:sz w:val="20"/>
          <w:szCs w:val="20"/>
        </w:rPr>
        <w:t>Noi</w:t>
      </w:r>
      <w:proofErr w:type="spellEnd"/>
      <w:r w:rsidR="0032223C">
        <w:rPr>
          <w:rFonts w:ascii="Arial" w:hAnsi="Arial" w:cs="Arial"/>
          <w:sz w:val="20"/>
          <w:szCs w:val="20"/>
        </w:rPr>
        <w:t xml:space="preserve"> City, Viet Nam</w:t>
      </w:r>
    </w:p>
    <w:p w:rsidR="006909EF" w:rsidRDefault="006909EF" w:rsidP="006909E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09EF">
        <w:rPr>
          <w:rFonts w:ascii="Arial" w:hAnsi="Arial" w:cs="Arial"/>
          <w:sz w:val="20"/>
          <w:szCs w:val="20"/>
        </w:rPr>
        <w:t xml:space="preserve">- </w:t>
      </w:r>
      <w:r w:rsidR="0032223C">
        <w:rPr>
          <w:rFonts w:ascii="Arial" w:hAnsi="Arial" w:cs="Arial"/>
          <w:sz w:val="20"/>
          <w:szCs w:val="20"/>
        </w:rPr>
        <w:t>C</w:t>
      </w:r>
      <w:r w:rsidRPr="006909EF">
        <w:rPr>
          <w:rFonts w:ascii="Arial" w:hAnsi="Arial" w:cs="Arial"/>
          <w:sz w:val="20"/>
          <w:szCs w:val="20"/>
        </w:rPr>
        <w:t>hanged</w:t>
      </w:r>
      <w:r w:rsidR="0032223C">
        <w:rPr>
          <w:rFonts w:ascii="Arial" w:hAnsi="Arial" w:cs="Arial"/>
          <w:sz w:val="20"/>
          <w:szCs w:val="20"/>
        </w:rPr>
        <w:t xml:space="preserve"> information: Km 12+</w:t>
      </w:r>
      <w:r w:rsidRPr="006909EF">
        <w:rPr>
          <w:rFonts w:ascii="Arial" w:hAnsi="Arial" w:cs="Arial"/>
          <w:sz w:val="20"/>
          <w:szCs w:val="20"/>
        </w:rPr>
        <w:t xml:space="preserve">800, National Highway 3, Group 6, Dong Anh Town, Dong </w:t>
      </w:r>
      <w:r w:rsidR="0032223C">
        <w:rPr>
          <w:rFonts w:ascii="Arial" w:hAnsi="Arial" w:cs="Arial"/>
          <w:sz w:val="20"/>
          <w:szCs w:val="20"/>
        </w:rPr>
        <w:t>A</w:t>
      </w:r>
      <w:r w:rsidRPr="006909EF">
        <w:rPr>
          <w:rFonts w:ascii="Arial" w:hAnsi="Arial" w:cs="Arial"/>
          <w:sz w:val="20"/>
          <w:szCs w:val="20"/>
        </w:rPr>
        <w:t>nh District, Hanoi City, V</w:t>
      </w:r>
      <w:r w:rsidR="0032223C">
        <w:rPr>
          <w:rFonts w:ascii="Arial" w:hAnsi="Arial" w:cs="Arial"/>
          <w:sz w:val="20"/>
          <w:szCs w:val="20"/>
        </w:rPr>
        <w:t>iet Nam</w:t>
      </w:r>
    </w:p>
    <w:p w:rsidR="0032223C" w:rsidRDefault="0032223C" w:rsidP="003222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223C">
        <w:rPr>
          <w:rFonts w:ascii="Arial" w:hAnsi="Arial" w:cs="Arial"/>
          <w:sz w:val="20"/>
          <w:szCs w:val="20"/>
        </w:rPr>
        <w:t xml:space="preserve">- Time of change: July 1, 2020 </w:t>
      </w:r>
    </w:p>
    <w:p w:rsidR="0032223C" w:rsidRDefault="0032223C" w:rsidP="003222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Change in a</w:t>
      </w:r>
      <w:r w:rsidRPr="0032223C">
        <w:rPr>
          <w:rFonts w:ascii="Arial" w:hAnsi="Arial" w:cs="Arial"/>
          <w:sz w:val="20"/>
          <w:szCs w:val="20"/>
        </w:rPr>
        <w:t xml:space="preserve">ddress in Business Registration of Branch </w:t>
      </w:r>
      <w:r>
        <w:rPr>
          <w:rFonts w:ascii="Arial" w:hAnsi="Arial" w:cs="Arial"/>
          <w:sz w:val="20"/>
          <w:szCs w:val="20"/>
        </w:rPr>
        <w:t>of</w:t>
      </w:r>
      <w:r w:rsidRPr="0032223C">
        <w:rPr>
          <w:rFonts w:ascii="Arial" w:hAnsi="Arial" w:cs="Arial"/>
          <w:sz w:val="20"/>
          <w:szCs w:val="20"/>
        </w:rPr>
        <w:t xml:space="preserve"> Dong Anh Mechanical JSC: Center for Research and Development </w:t>
      </w:r>
      <w:r>
        <w:rPr>
          <w:rFonts w:ascii="Arial" w:hAnsi="Arial" w:cs="Arial"/>
          <w:sz w:val="20"/>
          <w:szCs w:val="20"/>
        </w:rPr>
        <w:t xml:space="preserve">of </w:t>
      </w:r>
      <w:r w:rsidRPr="0032223C">
        <w:rPr>
          <w:rFonts w:ascii="Arial" w:hAnsi="Arial" w:cs="Arial"/>
          <w:sz w:val="20"/>
          <w:szCs w:val="20"/>
        </w:rPr>
        <w:t xml:space="preserve">Construction Mechanics under the Company </w:t>
      </w:r>
    </w:p>
    <w:p w:rsidR="0032223C" w:rsidRDefault="0032223C" w:rsidP="003222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223C">
        <w:rPr>
          <w:rFonts w:ascii="Arial" w:hAnsi="Arial" w:cs="Arial"/>
          <w:sz w:val="20"/>
          <w:szCs w:val="20"/>
        </w:rPr>
        <w:t>- Registered information: Group 8, Dong An</w:t>
      </w:r>
      <w:r>
        <w:rPr>
          <w:rFonts w:ascii="Arial" w:hAnsi="Arial" w:cs="Arial"/>
          <w:sz w:val="20"/>
          <w:szCs w:val="20"/>
        </w:rPr>
        <w:t xml:space="preserve">h Town, Dong Anh District, Ha </w:t>
      </w:r>
      <w:proofErr w:type="spellStart"/>
      <w:r>
        <w:rPr>
          <w:rFonts w:ascii="Arial" w:hAnsi="Arial" w:cs="Arial"/>
          <w:sz w:val="20"/>
          <w:szCs w:val="20"/>
        </w:rPr>
        <w:t>Noi</w:t>
      </w:r>
      <w:proofErr w:type="spellEnd"/>
      <w:r>
        <w:rPr>
          <w:rFonts w:ascii="Arial" w:hAnsi="Arial" w:cs="Arial"/>
          <w:sz w:val="20"/>
          <w:szCs w:val="20"/>
        </w:rPr>
        <w:t xml:space="preserve"> City, Viet Nam</w:t>
      </w:r>
    </w:p>
    <w:p w:rsidR="0032223C" w:rsidRDefault="0032223C" w:rsidP="003222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32223C">
        <w:rPr>
          <w:rFonts w:ascii="Arial" w:hAnsi="Arial" w:cs="Arial"/>
          <w:sz w:val="20"/>
          <w:szCs w:val="20"/>
        </w:rPr>
        <w:t xml:space="preserve"> Change</w:t>
      </w:r>
      <w:r>
        <w:rPr>
          <w:rFonts w:ascii="Arial" w:hAnsi="Arial" w:cs="Arial"/>
          <w:sz w:val="20"/>
          <w:szCs w:val="20"/>
        </w:rPr>
        <w:t>d</w:t>
      </w:r>
      <w:r w:rsidRPr="0032223C">
        <w:rPr>
          <w:rFonts w:ascii="Arial" w:hAnsi="Arial" w:cs="Arial"/>
          <w:sz w:val="20"/>
          <w:szCs w:val="20"/>
        </w:rPr>
        <w:t xml:space="preserve"> information: Km 12 + 800, Highway 3, Group 6, Dong An</w:t>
      </w:r>
      <w:r>
        <w:rPr>
          <w:rFonts w:ascii="Arial" w:hAnsi="Arial" w:cs="Arial"/>
          <w:sz w:val="20"/>
          <w:szCs w:val="20"/>
        </w:rPr>
        <w:t xml:space="preserve">h Town, Dong Anh District, Ha </w:t>
      </w:r>
      <w:proofErr w:type="spellStart"/>
      <w:r>
        <w:rPr>
          <w:rFonts w:ascii="Arial" w:hAnsi="Arial" w:cs="Arial"/>
          <w:sz w:val="20"/>
          <w:szCs w:val="20"/>
        </w:rPr>
        <w:t>Noi</w:t>
      </w:r>
      <w:proofErr w:type="spellEnd"/>
      <w:r>
        <w:rPr>
          <w:rFonts w:ascii="Arial" w:hAnsi="Arial" w:cs="Arial"/>
          <w:sz w:val="20"/>
          <w:szCs w:val="20"/>
        </w:rPr>
        <w:t xml:space="preserve"> City, Viet Nam</w:t>
      </w:r>
    </w:p>
    <w:p w:rsidR="0032223C" w:rsidRDefault="0032223C" w:rsidP="003222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Change in</w:t>
      </w:r>
      <w:r w:rsidRPr="0032223C">
        <w:rPr>
          <w:rFonts w:ascii="Arial" w:hAnsi="Arial" w:cs="Arial"/>
          <w:sz w:val="20"/>
          <w:szCs w:val="20"/>
        </w:rPr>
        <w:t xml:space="preserve"> address and contact information in Business Registration </w:t>
      </w:r>
      <w:r>
        <w:rPr>
          <w:rFonts w:ascii="Arial" w:hAnsi="Arial" w:cs="Arial"/>
          <w:sz w:val="20"/>
          <w:szCs w:val="20"/>
        </w:rPr>
        <w:t xml:space="preserve">Certificate </w:t>
      </w:r>
      <w:r w:rsidRPr="0032223C">
        <w:rPr>
          <w:rFonts w:ascii="Arial" w:hAnsi="Arial" w:cs="Arial"/>
          <w:sz w:val="20"/>
          <w:szCs w:val="20"/>
        </w:rPr>
        <w:t xml:space="preserve">of </w:t>
      </w:r>
      <w:r>
        <w:rPr>
          <w:rFonts w:ascii="Arial" w:hAnsi="Arial" w:cs="Arial"/>
          <w:sz w:val="20"/>
          <w:szCs w:val="20"/>
        </w:rPr>
        <w:t>Branch of</w:t>
      </w:r>
      <w:r w:rsidRPr="0032223C">
        <w:rPr>
          <w:rFonts w:ascii="Arial" w:hAnsi="Arial" w:cs="Arial"/>
          <w:sz w:val="20"/>
          <w:szCs w:val="20"/>
        </w:rPr>
        <w:t xml:space="preserve"> Dong Anh Mechanical JSC: Dong Anh Aluminum Factory </w:t>
      </w:r>
    </w:p>
    <w:p w:rsidR="0032223C" w:rsidRDefault="0032223C" w:rsidP="003222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223C">
        <w:rPr>
          <w:rFonts w:ascii="Arial" w:hAnsi="Arial" w:cs="Arial"/>
          <w:sz w:val="20"/>
          <w:szCs w:val="20"/>
        </w:rPr>
        <w:t>- Reg</w:t>
      </w:r>
      <w:r>
        <w:rPr>
          <w:rFonts w:ascii="Arial" w:hAnsi="Arial" w:cs="Arial"/>
          <w:sz w:val="20"/>
          <w:szCs w:val="20"/>
        </w:rPr>
        <w:t xml:space="preserve">istered information: Group 8, Dong Anh Town, Dong Anh District, Ha </w:t>
      </w:r>
      <w:proofErr w:type="spellStart"/>
      <w:r>
        <w:rPr>
          <w:rFonts w:ascii="Arial" w:hAnsi="Arial" w:cs="Arial"/>
          <w:sz w:val="20"/>
          <w:szCs w:val="20"/>
        </w:rPr>
        <w:t>Noi</w:t>
      </w:r>
      <w:proofErr w:type="spellEnd"/>
      <w:r>
        <w:rPr>
          <w:rFonts w:ascii="Arial" w:hAnsi="Arial" w:cs="Arial"/>
          <w:sz w:val="20"/>
          <w:szCs w:val="20"/>
        </w:rPr>
        <w:t xml:space="preserve"> City, Viet Nam</w:t>
      </w:r>
    </w:p>
    <w:p w:rsidR="0032223C" w:rsidRDefault="0032223C" w:rsidP="003222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223C">
        <w:rPr>
          <w:rFonts w:ascii="Arial" w:hAnsi="Arial" w:cs="Arial"/>
          <w:sz w:val="20"/>
          <w:szCs w:val="20"/>
        </w:rPr>
        <w:t xml:space="preserve">Phone: 0438839614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2223C">
        <w:rPr>
          <w:rFonts w:ascii="Arial" w:hAnsi="Arial" w:cs="Arial"/>
          <w:sz w:val="20"/>
          <w:szCs w:val="20"/>
        </w:rPr>
        <w:t xml:space="preserve"> Fax: 0439650753 </w:t>
      </w:r>
    </w:p>
    <w:p w:rsidR="0032223C" w:rsidRDefault="0032223C" w:rsidP="003222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nhomdonganh@gmail.com </w:t>
      </w:r>
    </w:p>
    <w:p w:rsidR="0032223C" w:rsidRDefault="0032223C" w:rsidP="003222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223C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C</w:t>
      </w:r>
      <w:r w:rsidRPr="0032223C">
        <w:rPr>
          <w:rFonts w:ascii="Arial" w:hAnsi="Arial" w:cs="Arial"/>
          <w:sz w:val="20"/>
          <w:szCs w:val="20"/>
        </w:rPr>
        <w:t xml:space="preserve">hanged </w:t>
      </w:r>
      <w:r>
        <w:rPr>
          <w:rFonts w:ascii="Arial" w:hAnsi="Arial" w:cs="Arial"/>
          <w:sz w:val="20"/>
          <w:szCs w:val="20"/>
        </w:rPr>
        <w:t>i</w:t>
      </w:r>
      <w:r w:rsidRPr="0032223C">
        <w:rPr>
          <w:rFonts w:ascii="Arial" w:hAnsi="Arial" w:cs="Arial"/>
          <w:sz w:val="20"/>
          <w:szCs w:val="20"/>
        </w:rPr>
        <w:t>nformation: Km 12 + 800, Highway 3, Group 6, Dong An</w:t>
      </w:r>
      <w:r>
        <w:rPr>
          <w:rFonts w:ascii="Arial" w:hAnsi="Arial" w:cs="Arial"/>
          <w:sz w:val="20"/>
          <w:szCs w:val="20"/>
        </w:rPr>
        <w:t xml:space="preserve">h Town, Dong Anh District, Ha </w:t>
      </w:r>
      <w:proofErr w:type="spellStart"/>
      <w:r>
        <w:rPr>
          <w:rFonts w:ascii="Arial" w:hAnsi="Arial" w:cs="Arial"/>
          <w:sz w:val="20"/>
          <w:szCs w:val="20"/>
        </w:rPr>
        <w:t>Noi</w:t>
      </w:r>
      <w:proofErr w:type="spellEnd"/>
      <w:r>
        <w:rPr>
          <w:rFonts w:ascii="Arial" w:hAnsi="Arial" w:cs="Arial"/>
          <w:sz w:val="20"/>
          <w:szCs w:val="20"/>
        </w:rPr>
        <w:t xml:space="preserve"> City, Viet Nam</w:t>
      </w:r>
    </w:p>
    <w:p w:rsidR="0032223C" w:rsidRDefault="0032223C" w:rsidP="003222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223C">
        <w:rPr>
          <w:rFonts w:ascii="Arial" w:hAnsi="Arial" w:cs="Arial"/>
          <w:sz w:val="20"/>
          <w:szCs w:val="20"/>
        </w:rPr>
        <w:t xml:space="preserve">Phone: 024.38839614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2223C">
        <w:rPr>
          <w:rFonts w:ascii="Arial" w:hAnsi="Arial" w:cs="Arial"/>
          <w:sz w:val="20"/>
          <w:szCs w:val="20"/>
        </w:rPr>
        <w:t xml:space="preserve">Fax: 024.39650753 </w:t>
      </w:r>
    </w:p>
    <w:p w:rsidR="0032223C" w:rsidRDefault="0032223C" w:rsidP="003222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 daa@ckda.vn/bh2@</w:t>
      </w:r>
      <w:r w:rsidRPr="0032223C">
        <w:rPr>
          <w:rFonts w:ascii="Arial" w:hAnsi="Arial" w:cs="Arial"/>
          <w:sz w:val="20"/>
          <w:szCs w:val="20"/>
        </w:rPr>
        <w:t xml:space="preserve">ckda.vn </w:t>
      </w:r>
    </w:p>
    <w:p w:rsidR="0032223C" w:rsidRDefault="0032223C" w:rsidP="003222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9:</w:t>
      </w:r>
      <w:r w:rsidRPr="0032223C">
        <w:rPr>
          <w:rFonts w:ascii="Arial" w:hAnsi="Arial" w:cs="Arial"/>
          <w:sz w:val="20"/>
          <w:szCs w:val="20"/>
        </w:rPr>
        <w:t xml:space="preserve"> Appro</w:t>
      </w:r>
      <w:r>
        <w:rPr>
          <w:rFonts w:ascii="Arial" w:hAnsi="Arial" w:cs="Arial"/>
          <w:sz w:val="20"/>
          <w:szCs w:val="20"/>
        </w:rPr>
        <w:t>ving the election to replace</w:t>
      </w:r>
      <w:r w:rsidRPr="0032223C">
        <w:rPr>
          <w:rFonts w:ascii="Arial" w:hAnsi="Arial" w:cs="Arial"/>
          <w:sz w:val="20"/>
          <w:szCs w:val="20"/>
        </w:rPr>
        <w:t xml:space="preserve"> member</w:t>
      </w:r>
      <w:r>
        <w:rPr>
          <w:rFonts w:ascii="Arial" w:hAnsi="Arial" w:cs="Arial"/>
          <w:sz w:val="20"/>
          <w:szCs w:val="20"/>
        </w:rPr>
        <w:t>s</w:t>
      </w:r>
      <w:r w:rsidRPr="0032223C">
        <w:rPr>
          <w:rFonts w:ascii="Arial" w:hAnsi="Arial" w:cs="Arial"/>
          <w:sz w:val="20"/>
          <w:szCs w:val="20"/>
        </w:rPr>
        <w:t xml:space="preserve"> of the Board of Directors for the second term (2019-2024) </w:t>
      </w:r>
    </w:p>
    <w:p w:rsidR="00234825" w:rsidRDefault="00234825" w:rsidP="003222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32223C" w:rsidRPr="0032223C">
        <w:rPr>
          <w:rFonts w:ascii="Arial" w:hAnsi="Arial" w:cs="Arial"/>
          <w:sz w:val="20"/>
          <w:szCs w:val="20"/>
        </w:rPr>
        <w:t xml:space="preserve"> Approving the dismissal of the position of </w:t>
      </w:r>
      <w:r w:rsidR="0032223C">
        <w:rPr>
          <w:rFonts w:ascii="Arial" w:hAnsi="Arial" w:cs="Arial"/>
          <w:sz w:val="20"/>
          <w:szCs w:val="20"/>
        </w:rPr>
        <w:t>member of the Board of Directors</w:t>
      </w:r>
      <w:r w:rsidR="0032223C" w:rsidRPr="0032223C">
        <w:rPr>
          <w:rFonts w:ascii="Arial" w:hAnsi="Arial" w:cs="Arial"/>
          <w:sz w:val="20"/>
          <w:szCs w:val="20"/>
        </w:rPr>
        <w:t xml:space="preserve"> from June 26, 2020 for </w:t>
      </w:r>
      <w:r>
        <w:rPr>
          <w:rFonts w:ascii="Arial" w:hAnsi="Arial" w:cs="Arial"/>
          <w:sz w:val="20"/>
          <w:szCs w:val="20"/>
        </w:rPr>
        <w:t xml:space="preserve">Mr. </w:t>
      </w:r>
      <w:r w:rsidR="0032223C" w:rsidRPr="0032223C">
        <w:rPr>
          <w:rFonts w:ascii="Arial" w:hAnsi="Arial" w:cs="Arial"/>
          <w:sz w:val="20"/>
          <w:szCs w:val="20"/>
        </w:rPr>
        <w:t xml:space="preserve">Ho </w:t>
      </w:r>
      <w:proofErr w:type="spellStart"/>
      <w:r w:rsidR="0032223C" w:rsidRPr="0032223C">
        <w:rPr>
          <w:rFonts w:ascii="Arial" w:hAnsi="Arial" w:cs="Arial"/>
          <w:sz w:val="20"/>
          <w:szCs w:val="20"/>
        </w:rPr>
        <w:t>Bao</w:t>
      </w:r>
      <w:proofErr w:type="spellEnd"/>
      <w:r w:rsidR="0032223C" w:rsidRPr="0032223C">
        <w:rPr>
          <w:rFonts w:ascii="Arial" w:hAnsi="Arial" w:cs="Arial"/>
          <w:sz w:val="20"/>
          <w:szCs w:val="20"/>
        </w:rPr>
        <w:t xml:space="preserve"> Hung, born on July 19, 1977, </w:t>
      </w:r>
      <w:r>
        <w:rPr>
          <w:rFonts w:ascii="Arial" w:hAnsi="Arial" w:cs="Arial"/>
          <w:sz w:val="20"/>
          <w:szCs w:val="20"/>
        </w:rPr>
        <w:t>ID card No.</w:t>
      </w:r>
      <w:r w:rsidR="0032223C" w:rsidRPr="0032223C">
        <w:rPr>
          <w:rFonts w:ascii="Arial" w:hAnsi="Arial" w:cs="Arial"/>
          <w:sz w:val="20"/>
          <w:szCs w:val="20"/>
        </w:rPr>
        <w:t xml:space="preserve">031077001798, issued by the Police Department of Residence </w:t>
      </w:r>
      <w:r>
        <w:rPr>
          <w:rFonts w:ascii="Arial" w:hAnsi="Arial" w:cs="Arial"/>
          <w:sz w:val="20"/>
          <w:szCs w:val="20"/>
        </w:rPr>
        <w:t xml:space="preserve">Registration </w:t>
      </w:r>
      <w:r w:rsidR="0032223C" w:rsidRPr="0032223C">
        <w:rPr>
          <w:rFonts w:ascii="Arial" w:hAnsi="Arial" w:cs="Arial"/>
          <w:sz w:val="20"/>
          <w:szCs w:val="20"/>
        </w:rPr>
        <w:t xml:space="preserve">and National </w:t>
      </w:r>
      <w:r>
        <w:rPr>
          <w:rFonts w:ascii="Arial" w:hAnsi="Arial" w:cs="Arial"/>
          <w:sz w:val="20"/>
          <w:szCs w:val="20"/>
        </w:rPr>
        <w:t>Demographic Data on October 31, 2017</w:t>
      </w:r>
    </w:p>
    <w:p w:rsidR="00234825" w:rsidRDefault="0032223C" w:rsidP="003222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223C">
        <w:rPr>
          <w:rFonts w:ascii="Arial" w:hAnsi="Arial" w:cs="Arial"/>
          <w:sz w:val="20"/>
          <w:szCs w:val="20"/>
        </w:rPr>
        <w:t>2.</w:t>
      </w:r>
      <w:r w:rsidR="00234825">
        <w:rPr>
          <w:rFonts w:ascii="Arial" w:hAnsi="Arial" w:cs="Arial"/>
          <w:sz w:val="20"/>
          <w:szCs w:val="20"/>
        </w:rPr>
        <w:t xml:space="preserve"> </w:t>
      </w:r>
      <w:r w:rsidRPr="0032223C">
        <w:rPr>
          <w:rFonts w:ascii="Arial" w:hAnsi="Arial" w:cs="Arial"/>
          <w:sz w:val="20"/>
          <w:szCs w:val="20"/>
        </w:rPr>
        <w:t xml:space="preserve">Approving the election of Mr. Phan The </w:t>
      </w:r>
      <w:proofErr w:type="spellStart"/>
      <w:r w:rsidRPr="0032223C">
        <w:rPr>
          <w:rFonts w:ascii="Arial" w:hAnsi="Arial" w:cs="Arial"/>
          <w:sz w:val="20"/>
          <w:szCs w:val="20"/>
        </w:rPr>
        <w:t>Vinh</w:t>
      </w:r>
      <w:proofErr w:type="spellEnd"/>
      <w:r w:rsidRPr="0032223C">
        <w:rPr>
          <w:rFonts w:ascii="Arial" w:hAnsi="Arial" w:cs="Arial"/>
          <w:sz w:val="20"/>
          <w:szCs w:val="20"/>
        </w:rPr>
        <w:t xml:space="preserve">, born on June 10, 1976, </w:t>
      </w:r>
      <w:r w:rsidR="00234825">
        <w:rPr>
          <w:rFonts w:ascii="Arial" w:hAnsi="Arial" w:cs="Arial"/>
          <w:sz w:val="20"/>
          <w:szCs w:val="20"/>
        </w:rPr>
        <w:t>ID card No.</w:t>
      </w:r>
      <w:r w:rsidRPr="0032223C">
        <w:rPr>
          <w:rFonts w:ascii="Arial" w:hAnsi="Arial" w:cs="Arial"/>
          <w:sz w:val="20"/>
          <w:szCs w:val="20"/>
        </w:rPr>
        <w:t xml:space="preserve">030076000119, issued on January 30, 2020 as a member of the Board of Directors for tenure </w:t>
      </w:r>
      <w:r w:rsidR="00234825">
        <w:rPr>
          <w:rFonts w:ascii="Arial" w:hAnsi="Arial" w:cs="Arial"/>
          <w:sz w:val="20"/>
          <w:szCs w:val="20"/>
        </w:rPr>
        <w:t>of</w:t>
      </w:r>
      <w:r w:rsidRPr="0032223C">
        <w:rPr>
          <w:rFonts w:ascii="Arial" w:hAnsi="Arial" w:cs="Arial"/>
          <w:sz w:val="20"/>
          <w:szCs w:val="20"/>
        </w:rPr>
        <w:t xml:space="preserve"> 2019-2024 of </w:t>
      </w:r>
      <w:r w:rsidR="00234825" w:rsidRPr="00234825">
        <w:rPr>
          <w:rFonts w:ascii="Arial" w:hAnsi="Arial" w:cs="Arial"/>
          <w:sz w:val="20"/>
          <w:szCs w:val="20"/>
        </w:rPr>
        <w:t>Dong Anh Mechanical JSC</w:t>
      </w:r>
      <w:r w:rsidR="00234825">
        <w:rPr>
          <w:rFonts w:ascii="Arial" w:hAnsi="Arial" w:cs="Arial"/>
          <w:sz w:val="20"/>
          <w:szCs w:val="20"/>
        </w:rPr>
        <w:t xml:space="preserve"> from June 26, 2020</w:t>
      </w:r>
    </w:p>
    <w:p w:rsidR="00234825" w:rsidRDefault="00234825" w:rsidP="003222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Article 10:</w:t>
      </w:r>
      <w:r w:rsidR="0032223C" w:rsidRPr="0032223C">
        <w:rPr>
          <w:rFonts w:ascii="Arial" w:hAnsi="Arial" w:cs="Arial"/>
          <w:sz w:val="20"/>
          <w:szCs w:val="20"/>
        </w:rPr>
        <w:t xml:space="preserve"> Implementing provisions: </w:t>
      </w:r>
    </w:p>
    <w:p w:rsidR="00234825" w:rsidRDefault="0032223C" w:rsidP="003222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223C">
        <w:rPr>
          <w:rFonts w:ascii="Arial" w:hAnsi="Arial" w:cs="Arial"/>
          <w:sz w:val="20"/>
          <w:szCs w:val="20"/>
        </w:rPr>
        <w:t xml:space="preserve">1. This </w:t>
      </w:r>
      <w:r w:rsidR="00234825">
        <w:rPr>
          <w:rFonts w:ascii="Arial" w:hAnsi="Arial" w:cs="Arial"/>
          <w:sz w:val="20"/>
          <w:szCs w:val="20"/>
        </w:rPr>
        <w:t>annual General Mandate</w:t>
      </w:r>
      <w:r w:rsidRPr="0032223C">
        <w:rPr>
          <w:rFonts w:ascii="Arial" w:hAnsi="Arial" w:cs="Arial"/>
          <w:sz w:val="20"/>
          <w:szCs w:val="20"/>
        </w:rPr>
        <w:t xml:space="preserve"> takes effect from the date of approval of the </w:t>
      </w:r>
      <w:r w:rsidR="00234825"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32223C" w:rsidRPr="0032223C" w:rsidRDefault="00234825" w:rsidP="003222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M</w:t>
      </w:r>
      <w:r w:rsidR="0032223C" w:rsidRPr="0032223C">
        <w:rPr>
          <w:rFonts w:ascii="Arial" w:hAnsi="Arial" w:cs="Arial"/>
          <w:sz w:val="20"/>
          <w:szCs w:val="20"/>
        </w:rPr>
        <w:t xml:space="preserve">embers of the Board of Directors, the </w:t>
      </w:r>
      <w:r>
        <w:rPr>
          <w:rFonts w:ascii="Arial" w:hAnsi="Arial" w:cs="Arial"/>
          <w:sz w:val="20"/>
          <w:szCs w:val="20"/>
        </w:rPr>
        <w:t>Supervisor Board</w:t>
      </w:r>
      <w:r w:rsidR="0032223C" w:rsidRPr="0032223C">
        <w:rPr>
          <w:rFonts w:ascii="Arial" w:hAnsi="Arial" w:cs="Arial"/>
          <w:sz w:val="20"/>
          <w:szCs w:val="20"/>
        </w:rPr>
        <w:t xml:space="preserve">, the General Director and all shareholders of the Company are responsible for implementing and organizing the implementation of this </w:t>
      </w:r>
      <w:r>
        <w:rPr>
          <w:rFonts w:ascii="Arial" w:hAnsi="Arial" w:cs="Arial"/>
          <w:sz w:val="20"/>
          <w:szCs w:val="20"/>
        </w:rPr>
        <w:t>annual General Mandate</w:t>
      </w:r>
      <w:r w:rsidR="0032223C" w:rsidRPr="0032223C">
        <w:rPr>
          <w:rFonts w:ascii="Arial" w:hAnsi="Arial" w:cs="Arial"/>
          <w:sz w:val="20"/>
          <w:szCs w:val="20"/>
        </w:rPr>
        <w:t xml:space="preserve"> according to their </w:t>
      </w:r>
      <w:r>
        <w:rPr>
          <w:rFonts w:ascii="Arial" w:hAnsi="Arial" w:cs="Arial"/>
          <w:sz w:val="20"/>
          <w:szCs w:val="20"/>
        </w:rPr>
        <w:t>functions</w:t>
      </w:r>
      <w:r w:rsidR="0032223C" w:rsidRPr="0032223C">
        <w:rPr>
          <w:rFonts w:ascii="Arial" w:hAnsi="Arial" w:cs="Arial"/>
          <w:sz w:val="20"/>
          <w:szCs w:val="20"/>
        </w:rPr>
        <w:t xml:space="preserve"> in accordance with the provisions of the Law</w:t>
      </w:r>
      <w:r>
        <w:rPr>
          <w:rFonts w:ascii="Arial" w:hAnsi="Arial" w:cs="Arial"/>
          <w:sz w:val="20"/>
          <w:szCs w:val="20"/>
        </w:rPr>
        <w:t xml:space="preserve"> and the Charter of the Company</w:t>
      </w:r>
      <w:r w:rsidR="00272655">
        <w:rPr>
          <w:rFonts w:ascii="Arial" w:hAnsi="Arial" w:cs="Arial"/>
          <w:sz w:val="20"/>
          <w:szCs w:val="20"/>
        </w:rPr>
        <w:t>.</w:t>
      </w:r>
    </w:p>
    <w:sectPr w:rsidR="0032223C" w:rsidRPr="00322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E043C"/>
    <w:multiLevelType w:val="hybridMultilevel"/>
    <w:tmpl w:val="94227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469B"/>
    <w:rsid w:val="000266C2"/>
    <w:rsid w:val="000365C1"/>
    <w:rsid w:val="00050E3D"/>
    <w:rsid w:val="00054EB3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A6CEF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34825"/>
    <w:rsid w:val="0025148F"/>
    <w:rsid w:val="00252CE0"/>
    <w:rsid w:val="00254EA2"/>
    <w:rsid w:val="0026535B"/>
    <w:rsid w:val="002701FB"/>
    <w:rsid w:val="00270242"/>
    <w:rsid w:val="00272655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D73E1"/>
    <w:rsid w:val="002E43D7"/>
    <w:rsid w:val="002E76E5"/>
    <w:rsid w:val="002E7FD0"/>
    <w:rsid w:val="002F689A"/>
    <w:rsid w:val="002F68A9"/>
    <w:rsid w:val="00304722"/>
    <w:rsid w:val="0030503E"/>
    <w:rsid w:val="0031274D"/>
    <w:rsid w:val="00316F05"/>
    <w:rsid w:val="00320096"/>
    <w:rsid w:val="0032185B"/>
    <w:rsid w:val="0032223C"/>
    <w:rsid w:val="003250AD"/>
    <w:rsid w:val="00327CF7"/>
    <w:rsid w:val="0033774A"/>
    <w:rsid w:val="00341204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E60D6"/>
    <w:rsid w:val="003E73CA"/>
    <w:rsid w:val="003F38AB"/>
    <w:rsid w:val="00403A9C"/>
    <w:rsid w:val="004115D9"/>
    <w:rsid w:val="00411E47"/>
    <w:rsid w:val="00420169"/>
    <w:rsid w:val="0042783A"/>
    <w:rsid w:val="0043345C"/>
    <w:rsid w:val="00433E4F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1B54"/>
    <w:rsid w:val="00496733"/>
    <w:rsid w:val="004A554D"/>
    <w:rsid w:val="004B2BA6"/>
    <w:rsid w:val="004B473F"/>
    <w:rsid w:val="004B4798"/>
    <w:rsid w:val="004C144F"/>
    <w:rsid w:val="004E4C16"/>
    <w:rsid w:val="004F3452"/>
    <w:rsid w:val="00503DD6"/>
    <w:rsid w:val="00505065"/>
    <w:rsid w:val="0052379D"/>
    <w:rsid w:val="0053093D"/>
    <w:rsid w:val="00534C35"/>
    <w:rsid w:val="0055067A"/>
    <w:rsid w:val="00551A83"/>
    <w:rsid w:val="005610CB"/>
    <w:rsid w:val="00576A91"/>
    <w:rsid w:val="00584222"/>
    <w:rsid w:val="0058434E"/>
    <w:rsid w:val="00585B82"/>
    <w:rsid w:val="005906FC"/>
    <w:rsid w:val="005970B6"/>
    <w:rsid w:val="005A0BA8"/>
    <w:rsid w:val="005B1FDE"/>
    <w:rsid w:val="005B40E5"/>
    <w:rsid w:val="005C57E0"/>
    <w:rsid w:val="005D7F9C"/>
    <w:rsid w:val="005E7B32"/>
    <w:rsid w:val="005F7ED5"/>
    <w:rsid w:val="006000D8"/>
    <w:rsid w:val="00604110"/>
    <w:rsid w:val="0063035E"/>
    <w:rsid w:val="0063581B"/>
    <w:rsid w:val="006374A1"/>
    <w:rsid w:val="006468F5"/>
    <w:rsid w:val="00653D82"/>
    <w:rsid w:val="00662E88"/>
    <w:rsid w:val="00664834"/>
    <w:rsid w:val="006909EF"/>
    <w:rsid w:val="006938BF"/>
    <w:rsid w:val="006948E2"/>
    <w:rsid w:val="00694B5D"/>
    <w:rsid w:val="00695ACD"/>
    <w:rsid w:val="006A727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37771"/>
    <w:rsid w:val="008405F2"/>
    <w:rsid w:val="0084142F"/>
    <w:rsid w:val="008428CB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C0872"/>
    <w:rsid w:val="008C7A42"/>
    <w:rsid w:val="00912FBD"/>
    <w:rsid w:val="009232CB"/>
    <w:rsid w:val="00923467"/>
    <w:rsid w:val="009327E6"/>
    <w:rsid w:val="00934FC0"/>
    <w:rsid w:val="00936ABF"/>
    <w:rsid w:val="00937D79"/>
    <w:rsid w:val="009410B8"/>
    <w:rsid w:val="009464B8"/>
    <w:rsid w:val="00962777"/>
    <w:rsid w:val="00964DEC"/>
    <w:rsid w:val="00966EA5"/>
    <w:rsid w:val="00980267"/>
    <w:rsid w:val="00981275"/>
    <w:rsid w:val="00981536"/>
    <w:rsid w:val="00985126"/>
    <w:rsid w:val="0099040A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14EC9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948"/>
    <w:rsid w:val="00B70D7E"/>
    <w:rsid w:val="00B7158A"/>
    <w:rsid w:val="00B72E2C"/>
    <w:rsid w:val="00B7408A"/>
    <w:rsid w:val="00B744E0"/>
    <w:rsid w:val="00B823A0"/>
    <w:rsid w:val="00B84F6A"/>
    <w:rsid w:val="00BA1F12"/>
    <w:rsid w:val="00BA2434"/>
    <w:rsid w:val="00BA2DBC"/>
    <w:rsid w:val="00BA3FB7"/>
    <w:rsid w:val="00BB1331"/>
    <w:rsid w:val="00BB149F"/>
    <w:rsid w:val="00BB19BD"/>
    <w:rsid w:val="00BB27B4"/>
    <w:rsid w:val="00BB2980"/>
    <w:rsid w:val="00BD3CCA"/>
    <w:rsid w:val="00BD6969"/>
    <w:rsid w:val="00BE3B72"/>
    <w:rsid w:val="00BF0485"/>
    <w:rsid w:val="00C02706"/>
    <w:rsid w:val="00C220E2"/>
    <w:rsid w:val="00C2280B"/>
    <w:rsid w:val="00C26F1A"/>
    <w:rsid w:val="00C32F3A"/>
    <w:rsid w:val="00C33F82"/>
    <w:rsid w:val="00C36031"/>
    <w:rsid w:val="00C40291"/>
    <w:rsid w:val="00C57CB9"/>
    <w:rsid w:val="00C61E40"/>
    <w:rsid w:val="00C61EAF"/>
    <w:rsid w:val="00C65917"/>
    <w:rsid w:val="00C940B5"/>
    <w:rsid w:val="00C97B83"/>
    <w:rsid w:val="00CA0AB7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2295D"/>
    <w:rsid w:val="00D322FB"/>
    <w:rsid w:val="00D370AF"/>
    <w:rsid w:val="00D415AC"/>
    <w:rsid w:val="00D42678"/>
    <w:rsid w:val="00D52C26"/>
    <w:rsid w:val="00D55CBB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313AB"/>
    <w:rsid w:val="00E35884"/>
    <w:rsid w:val="00E43201"/>
    <w:rsid w:val="00E44453"/>
    <w:rsid w:val="00E47B26"/>
    <w:rsid w:val="00E51F4E"/>
    <w:rsid w:val="00E53A5C"/>
    <w:rsid w:val="00E5565D"/>
    <w:rsid w:val="00E65132"/>
    <w:rsid w:val="00E7691C"/>
    <w:rsid w:val="00E940FA"/>
    <w:rsid w:val="00E96289"/>
    <w:rsid w:val="00E96D65"/>
    <w:rsid w:val="00EA4C28"/>
    <w:rsid w:val="00EA6EE7"/>
    <w:rsid w:val="00EC2D2D"/>
    <w:rsid w:val="00EC37DE"/>
    <w:rsid w:val="00ED3B40"/>
    <w:rsid w:val="00ED6D41"/>
    <w:rsid w:val="00EE5769"/>
    <w:rsid w:val="00EF091F"/>
    <w:rsid w:val="00EF47D6"/>
    <w:rsid w:val="00F272CE"/>
    <w:rsid w:val="00F301A8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FC1C7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2116</TotalTime>
  <Pages>5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328</cp:revision>
  <dcterms:created xsi:type="dcterms:W3CDTF">2019-10-16T10:03:00Z</dcterms:created>
  <dcterms:modified xsi:type="dcterms:W3CDTF">2020-07-07T03:40:00Z</dcterms:modified>
</cp:coreProperties>
</file>